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0E7DA">
      <w:pPr>
        <w:shd w:val="clear"/>
        <w:adjustRightInd w:val="0"/>
        <w:snapToGrid w:val="0"/>
        <w:spacing w:beforeLines="0" w:afterLines="0" w:line="560" w:lineRule="exact"/>
        <w:ind w:firstLine="0" w:firstLineChars="0"/>
        <w:outlineLvl w:val="0"/>
        <w:rPr>
          <w:rFonts w:hint="default" w:ascii="Times New Roman" w:hAnsi="Times New Roman" w:eastAsia="方正小标宋简体" w:cs="Times New Roman"/>
          <w:bCs/>
          <w:color w:val="000000" w:themeColor="text1"/>
          <w:spacing w:val="-20"/>
          <w:kern w:val="36"/>
          <w:sz w:val="32"/>
          <w:szCs w:val="32"/>
          <w:u w:val="none"/>
          <w14:textFill>
            <w14:solidFill>
              <w14:schemeClr w14:val="tx1"/>
            </w14:solidFill>
          </w14:textFill>
        </w:rPr>
      </w:pPr>
      <w:bookmarkStart w:id="0" w:name="_GoBack"/>
      <w:bookmarkEnd w:id="0"/>
      <w:r>
        <w:rPr>
          <w:rFonts w:hint="default" w:ascii="Times New Roman" w:hAnsi="Times New Roman" w:eastAsia="黑体" w:cs="Times New Roman"/>
          <w:bCs/>
          <w:color w:val="000000" w:themeColor="text1"/>
          <w:kern w:val="36"/>
          <w:sz w:val="32"/>
          <w:szCs w:val="32"/>
          <w:u w:val="none"/>
          <w14:textFill>
            <w14:solidFill>
              <w14:schemeClr w14:val="tx1"/>
            </w14:solidFill>
          </w14:textFill>
        </w:rPr>
        <w:t>附件4</w:t>
      </w:r>
    </w:p>
    <w:p w14:paraId="04C03CC8">
      <w:pPr>
        <w:shd w:val="clear"/>
        <w:adjustRightInd w:val="0"/>
        <w:snapToGrid w:val="0"/>
        <w:spacing w:before="0" w:beforeLines="0" w:after="0" w:afterLines="0" w:line="560" w:lineRule="exact"/>
        <w:ind w:firstLine="0" w:firstLineChars="0"/>
        <w:jc w:val="center"/>
        <w:outlineLvl w:val="0"/>
        <w:rPr>
          <w:rFonts w:hint="default" w:ascii="Times New Roman" w:hAnsi="Times New Roman" w:eastAsia="方正小标宋简体" w:cs="Times New Roman"/>
          <w:bCs/>
          <w:color w:val="000000" w:themeColor="text1"/>
          <w:kern w:val="36"/>
          <w:sz w:val="44"/>
          <w:szCs w:val="44"/>
          <w:u w:val="none"/>
          <w14:textFill>
            <w14:solidFill>
              <w14:schemeClr w14:val="tx1"/>
            </w14:solidFill>
          </w14:textFill>
        </w:rPr>
      </w:pPr>
    </w:p>
    <w:p w14:paraId="09B71383">
      <w:pPr>
        <w:shd w:val="clear"/>
        <w:adjustRightInd w:val="0"/>
        <w:snapToGrid w:val="0"/>
        <w:spacing w:before="0" w:beforeLines="0" w:after="0" w:afterLines="0" w:line="560" w:lineRule="exact"/>
        <w:ind w:firstLine="0" w:firstLineChars="0"/>
        <w:jc w:val="center"/>
        <w:outlineLvl w:val="0"/>
        <w:rPr>
          <w:rFonts w:hint="default" w:ascii="Times New Roman" w:hAnsi="Times New Roman" w:eastAsia="方正小标宋简体" w:cs="Times New Roman"/>
          <w:bCs/>
          <w:color w:val="000000" w:themeColor="text1"/>
          <w:kern w:val="36"/>
          <w:sz w:val="44"/>
          <w:szCs w:val="44"/>
          <w:u w:val="none"/>
          <w14:textFill>
            <w14:solidFill>
              <w14:schemeClr w14:val="tx1"/>
            </w14:solidFill>
          </w14:textFill>
        </w:rPr>
      </w:pPr>
      <w:r>
        <w:rPr>
          <w:rFonts w:hint="default" w:ascii="Times New Roman" w:hAnsi="Times New Roman" w:eastAsia="方正小标宋简体" w:cs="Times New Roman"/>
          <w:bCs/>
          <w:color w:val="000000" w:themeColor="text1"/>
          <w:kern w:val="36"/>
          <w:sz w:val="44"/>
          <w:szCs w:val="44"/>
          <w:u w:val="none"/>
          <w14:textFill>
            <w14:solidFill>
              <w14:schemeClr w14:val="tx1"/>
            </w14:solidFill>
          </w14:textFill>
        </w:rPr>
        <w:t>北京市</w:t>
      </w:r>
      <w:r>
        <w:rPr>
          <w:rFonts w:hint="default" w:ascii="Times New Roman" w:hAnsi="Times New Roman" w:eastAsia="方正小标宋简体" w:cs="Times New Roman"/>
          <w:bCs/>
          <w:color w:val="000000" w:themeColor="text1"/>
          <w:kern w:val="36"/>
          <w:sz w:val="44"/>
          <w:szCs w:val="44"/>
          <w:u w:val="none"/>
          <w:lang w:eastAsia="zh-CN"/>
          <w14:textFill>
            <w14:solidFill>
              <w14:schemeClr w14:val="tx1"/>
            </w14:solidFill>
          </w14:textFill>
        </w:rPr>
        <w:t>202</w:t>
      </w:r>
      <w:r>
        <w:rPr>
          <w:rFonts w:hint="default" w:ascii="Times New Roman" w:hAnsi="Times New Roman" w:eastAsia="方正小标宋简体" w:cs="Times New Roman"/>
          <w:bCs/>
          <w:color w:val="000000" w:themeColor="text1"/>
          <w:kern w:val="36"/>
          <w:sz w:val="44"/>
          <w:szCs w:val="44"/>
          <w:u w:val="none"/>
          <w:lang w:val="en-US" w:eastAsia="zh-CN"/>
          <w14:textFill>
            <w14:solidFill>
              <w14:schemeClr w14:val="tx1"/>
            </w14:solidFill>
          </w14:textFill>
        </w:rPr>
        <w:t>7</w:t>
      </w:r>
      <w:r>
        <w:rPr>
          <w:rFonts w:hint="default" w:ascii="Times New Roman" w:hAnsi="Times New Roman" w:eastAsia="方正小标宋简体" w:cs="Times New Roman"/>
          <w:bCs/>
          <w:color w:val="000000" w:themeColor="text1"/>
          <w:kern w:val="36"/>
          <w:sz w:val="44"/>
          <w:szCs w:val="44"/>
          <w:u w:val="none"/>
          <w14:textFill>
            <w14:solidFill>
              <w14:schemeClr w14:val="tx1"/>
            </w14:solidFill>
          </w14:textFill>
        </w:rPr>
        <w:t>年度定向选调</w:t>
      </w:r>
      <w:r>
        <w:rPr>
          <w:rFonts w:hint="default" w:ascii="Times New Roman" w:hAnsi="Times New Roman" w:eastAsia="方正小标宋简体" w:cs="Times New Roman"/>
          <w:color w:val="000000" w:themeColor="text1"/>
          <w:sz w:val="44"/>
          <w:szCs w:val="44"/>
          <w:u w:val="none"/>
          <w14:textFill>
            <w14:solidFill>
              <w14:schemeClr w14:val="tx1"/>
            </w14:solidFill>
          </w14:textFill>
        </w:rPr>
        <w:t>和“优培计划”招聘</w:t>
      </w:r>
      <w:r>
        <w:rPr>
          <w:rFonts w:hint="default" w:ascii="Times New Roman" w:hAnsi="Times New Roman" w:eastAsia="方正小标宋简体" w:cs="Times New Roman"/>
          <w:bCs/>
          <w:color w:val="000000" w:themeColor="text1"/>
          <w:kern w:val="36"/>
          <w:sz w:val="44"/>
          <w:szCs w:val="44"/>
          <w:u w:val="none"/>
          <w14:textFill>
            <w14:solidFill>
              <w14:schemeClr w14:val="tx1"/>
            </w14:solidFill>
          </w14:textFill>
        </w:rPr>
        <w:t>应届优秀大学毕业生报考指南</w:t>
      </w:r>
    </w:p>
    <w:p w14:paraId="34D92330">
      <w:pPr>
        <w:numPr>
          <w:ilvl w:val="-1"/>
          <w:numId w:val="0"/>
        </w:numPr>
        <w:shd w:val="clear"/>
        <w:snapToGrid w:val="0"/>
        <w:spacing w:beforeLines="0" w:after="0" w:afterLines="0" w:line="560" w:lineRule="exact"/>
        <w:ind w:left="0" w:leftChars="0" w:firstLine="0" w:firstLineChars="0"/>
        <w:jc w:val="center"/>
        <w:outlineLvl w:val="0"/>
        <w:rPr>
          <w:rFonts w:hint="default" w:ascii="Times New Roman" w:hAnsi="Times New Roman" w:eastAsia="黑体" w:cs="Times New Roman"/>
          <w:snapToGrid w:val="0"/>
          <w:color w:val="000000" w:themeColor="text1"/>
          <w:kern w:val="0"/>
          <w:sz w:val="36"/>
          <w:szCs w:val="36"/>
          <w:u w:val="none"/>
          <w:lang w:eastAsia="zh-CN"/>
          <w14:textFill>
            <w14:solidFill>
              <w14:schemeClr w14:val="tx1"/>
            </w14:solidFill>
          </w14:textFill>
        </w:rPr>
      </w:pPr>
    </w:p>
    <w:p w14:paraId="2F71759E">
      <w:pPr>
        <w:numPr>
          <w:ilvl w:val="-1"/>
          <w:numId w:val="0"/>
        </w:numPr>
        <w:shd w:val="clear"/>
        <w:snapToGrid w:val="0"/>
        <w:spacing w:beforeLines="0" w:after="0" w:afterLines="0" w:line="560" w:lineRule="exact"/>
        <w:ind w:left="0" w:leftChars="0" w:firstLine="0" w:firstLineChars="0"/>
        <w:jc w:val="center"/>
        <w:outlineLvl w:val="0"/>
        <w:rPr>
          <w:rFonts w:hint="default" w:ascii="Times New Roman" w:hAnsi="Times New Roman" w:cs="Times New Roman"/>
          <w:snapToGrid w:val="0"/>
          <w:color w:val="000000" w:themeColor="text1"/>
          <w:kern w:val="0"/>
          <w:sz w:val="36"/>
          <w:szCs w:val="36"/>
          <w:u w:val="none"/>
          <w14:textFill>
            <w14:solidFill>
              <w14:schemeClr w14:val="tx1"/>
            </w14:solidFill>
          </w14:textFill>
        </w:rPr>
      </w:pPr>
      <w:r>
        <w:rPr>
          <w:rFonts w:hint="default" w:ascii="Times New Roman" w:hAnsi="Times New Roman" w:eastAsia="黑体" w:cs="Times New Roman"/>
          <w:snapToGrid w:val="0"/>
          <w:color w:val="000000" w:themeColor="text1"/>
          <w:kern w:val="0"/>
          <w:sz w:val="36"/>
          <w:szCs w:val="36"/>
          <w:u w:val="none"/>
          <w:lang w:eastAsia="zh-CN"/>
          <w14:textFill>
            <w14:solidFill>
              <w14:schemeClr w14:val="tx1"/>
            </w14:solidFill>
          </w14:textFill>
        </w:rPr>
        <w:t>第一章</w:t>
      </w:r>
      <w:r>
        <w:rPr>
          <w:rFonts w:hint="default" w:ascii="Times New Roman" w:hAnsi="Times New Roman" w:eastAsia="黑体" w:cs="Times New Roman"/>
          <w:snapToGrid w:val="0"/>
          <w:color w:val="000000" w:themeColor="text1"/>
          <w:kern w:val="0"/>
          <w:sz w:val="36"/>
          <w:szCs w:val="36"/>
          <w:u w:val="none"/>
          <w:lang w:val="en-US" w:eastAsia="zh-CN"/>
          <w14:textFill>
            <w14:solidFill>
              <w14:schemeClr w14:val="tx1"/>
            </w14:solidFill>
          </w14:textFill>
        </w:rPr>
        <w:t xml:space="preserve">  </w:t>
      </w:r>
      <w:r>
        <w:rPr>
          <w:rFonts w:hint="default" w:ascii="Times New Roman" w:hAnsi="Times New Roman" w:eastAsia="黑体" w:cs="Times New Roman"/>
          <w:snapToGrid w:val="0"/>
          <w:color w:val="000000" w:themeColor="text1"/>
          <w:kern w:val="0"/>
          <w:sz w:val="36"/>
          <w:szCs w:val="36"/>
          <w:u w:val="none"/>
          <w14:textFill>
            <w14:solidFill>
              <w14:schemeClr w14:val="tx1"/>
            </w14:solidFill>
          </w14:textFill>
        </w:rPr>
        <w:t>有关政策规定</w:t>
      </w:r>
    </w:p>
    <w:p w14:paraId="24F0E517">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p>
    <w:p w14:paraId="47B744C6">
      <w:pPr>
        <w:shd w:val="clear"/>
        <w:spacing w:beforeLines="0" w:afterLines="0" w:line="560" w:lineRule="exact"/>
        <w:ind w:firstLine="640" w:firstLineChars="200"/>
        <w:outlineLvl w:val="1"/>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一、关于招考对象、职位和工作步骤</w:t>
      </w:r>
    </w:p>
    <w:p w14:paraId="00D78E6E">
      <w:pPr>
        <w:numPr>
          <w:ilvl w:val="0"/>
          <w:numId w:val="1"/>
        </w:numPr>
        <w:shd w:val="clear"/>
        <w:adjustRightInd w:val="0"/>
        <w:snapToGrid w:val="0"/>
        <w:spacing w:beforeLines="0" w:afterLines="0" w:line="560" w:lineRule="exact"/>
        <w:ind w:left="0" w:leftChars="0" w:firstLine="643" w:firstLineChars="200"/>
        <w:outlineLvl w:val="2"/>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楷体_GB2312" w:cs="Times New Roman"/>
          <w:b/>
          <w:color w:val="000000" w:themeColor="text1"/>
          <w:sz w:val="32"/>
          <w:szCs w:val="32"/>
          <w:u w:val="none"/>
          <w14:textFill>
            <w14:solidFill>
              <w14:schemeClr w14:val="tx1"/>
            </w14:solidFill>
          </w14:textFill>
        </w:rPr>
        <w:t>本次定向选调和“优培计划”招聘的对象有哪些？</w:t>
      </w:r>
    </w:p>
    <w:p w14:paraId="4BD80EE5">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定向选调面向北京大学等43所“双一流”建设高校和北京交通大学等25所高校“双一流”建设学科</w:t>
      </w:r>
      <w:r>
        <w:rPr>
          <w:rFonts w:hint="default"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届</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全日制应届毕业生。</w:t>
      </w:r>
    </w:p>
    <w:p w14:paraId="43AE0603">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“优培计划”招聘面向北京大学等43所“双一流”建设高校、北京交通大学等25所高校“双一流”建设学科和北京工业大学等20所北京市属高校高精尖学科</w:t>
      </w:r>
      <w:r>
        <w:rPr>
          <w:rFonts w:hint="default"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届全日制应届毕业生，</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以及本科阶段在上述</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学校（学科）</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就读并于</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年8月1日至</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年7月31日期间取得世界排名前100名的国（境）外院校（以</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软科世界大学学术排名为准）研究生学历学位、学制1年及以上、未落实工作单位的留学回国人员。</w:t>
      </w:r>
    </w:p>
    <w:p w14:paraId="3F501492">
      <w:pPr>
        <w:shd w:val="clear"/>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定向培养、委托培养的应届毕业生，独立学院毕业生，毕业后申请第二学士学位毕业生，各类成人教育、远程教育毕业生，专升本毕业生不在范围内。</w:t>
      </w:r>
    </w:p>
    <w:p w14:paraId="77575B33">
      <w:pPr>
        <w:numPr>
          <w:ilvl w:val="0"/>
          <w:numId w:val="1"/>
        </w:numPr>
        <w:shd w:val="clear"/>
        <w:adjustRightInd w:val="0"/>
        <w:snapToGrid w:val="0"/>
        <w:spacing w:beforeLines="0" w:afterLines="0" w:line="560" w:lineRule="exact"/>
        <w:ind w:left="0" w:firstLine="643" w:firstLineChars="200"/>
        <w:outlineLvl w:val="2"/>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楷体_GB2312" w:cs="Times New Roman"/>
          <w:b/>
          <w:color w:val="000000" w:themeColor="text1"/>
          <w:sz w:val="32"/>
          <w:szCs w:val="32"/>
          <w:u w:val="none"/>
          <w14:textFill>
            <w14:solidFill>
              <w14:schemeClr w14:val="tx1"/>
            </w14:solidFill>
          </w14:textFill>
        </w:rPr>
        <w:t>本次定向选调职位有哪些？</w:t>
      </w:r>
    </w:p>
    <w:p w14:paraId="08E0A99F">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本次选调职位为北京市市级、区级机关职位和部分乡镇街道职位，具体可查询《北京市</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u w:val="none"/>
          <w14:textFill>
            <w14:solidFill>
              <w14:schemeClr w14:val="tx1"/>
            </w14:solidFill>
          </w14:textFill>
        </w:rPr>
        <w:t>年度定向选调应届优秀大学毕业生简章》（以下简称《选调简章》）。</w:t>
      </w:r>
    </w:p>
    <w:p w14:paraId="47460363">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楷体_GB2312" w:cs="Times New Roman"/>
          <w:b/>
          <w:color w:val="000000" w:themeColor="text1"/>
          <w:sz w:val="32"/>
          <w:szCs w:val="32"/>
          <w:u w:val="none"/>
          <w14:textFill>
            <w14:solidFill>
              <w14:schemeClr w14:val="tx1"/>
            </w14:solidFill>
          </w14:textFill>
        </w:rPr>
        <w:t>本次“优培计划”招聘职位有哪些？</w:t>
      </w:r>
    </w:p>
    <w:p w14:paraId="00F64DFB">
      <w:pPr>
        <w:shd w:val="clear"/>
        <w:adjustRightInd w:val="0"/>
        <w:snapToGrid w:val="0"/>
        <w:spacing w:beforeLines="0" w:afterLines="0" w:line="560" w:lineRule="exact"/>
        <w:ind w:firstLine="640" w:firstLineChars="200"/>
        <w:jc w:val="both"/>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本次“优培计划”招聘职位为北京市市属企事业单位职位，具体可查询《北京市</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年度“</w:t>
      </w:r>
      <w:r>
        <w:rPr>
          <w:rFonts w:hint="default" w:ascii="Times New Roman" w:hAnsi="Times New Roman" w:eastAsia="仿宋_GB2312" w:cs="Times New Roman"/>
          <w:color w:val="000000" w:themeColor="text1"/>
          <w:sz w:val="32"/>
          <w:szCs w:val="32"/>
          <w:highlight w:val="none"/>
          <w:u w:val="none"/>
          <w:lang w:val="en"/>
          <w14:textFill>
            <w14:solidFill>
              <w14:schemeClr w14:val="tx1"/>
            </w14:solidFill>
          </w14:textFill>
        </w:rPr>
        <w:t>优培</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计划”招聘应届优秀大学毕业生简章》（以下简称《招聘简章》）。职位分为</w:t>
      </w:r>
      <w:r>
        <w:rPr>
          <w:rFonts w:hint="eastAsia" w:ascii="Times New Roman" w:eastAsia="仿宋_GB2312"/>
          <w:color w:val="000000" w:themeColor="text1"/>
          <w:sz w:val="32"/>
          <w:szCs w:val="32"/>
          <w:highlight w:val="none"/>
          <w:u w:val="none"/>
          <w14:textFill>
            <w14:solidFill>
              <w14:schemeClr w14:val="tx1"/>
            </w14:solidFill>
          </w14:textFill>
        </w:rPr>
        <w:t>Ⅰ</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r>
        <w:rPr>
          <w:rFonts w:hint="eastAsia" w:ascii="Times New Roman" w:eastAsia="仿宋_GB2312"/>
          <w:color w:val="000000" w:themeColor="text1"/>
          <w:sz w:val="32"/>
          <w:szCs w:val="32"/>
          <w:highlight w:val="none"/>
          <w:u w:val="none"/>
          <w14:textFill>
            <w14:solidFill>
              <w14:schemeClr w14:val="tx1"/>
            </w14:solidFill>
          </w14:textFill>
        </w:rPr>
        <w:t>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两类，其中</w:t>
      </w:r>
      <w:r>
        <w:rPr>
          <w:rFonts w:hint="eastAsia" w:ascii="Times New Roman" w:eastAsia="仿宋_GB2312"/>
          <w:color w:val="000000" w:themeColor="text1"/>
          <w:sz w:val="32"/>
          <w:szCs w:val="32"/>
          <w:highlight w:val="none"/>
          <w:u w:val="none"/>
          <w14:textFill>
            <w14:solidFill>
              <w14:schemeClr w14:val="tx1"/>
            </w14:solidFill>
          </w14:textFill>
        </w:rPr>
        <w:t>Ⅰ</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类为市级部门所属事业单位职位，</w:t>
      </w:r>
      <w:r>
        <w:rPr>
          <w:rFonts w:hint="eastAsia" w:ascii="Times New Roman" w:eastAsia="仿宋_GB2312"/>
          <w:color w:val="000000" w:themeColor="text1"/>
          <w:sz w:val="32"/>
          <w:szCs w:val="32"/>
          <w:highlight w:val="none"/>
          <w:u w:val="none"/>
          <w14:textFill>
            <w14:solidFill>
              <w14:schemeClr w14:val="tx1"/>
            </w14:solidFill>
          </w14:textFill>
        </w:rPr>
        <w:t>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类为市属高校、科研院所、医院、企业职位。</w:t>
      </w:r>
    </w:p>
    <w:p w14:paraId="6B74FE90">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楷体_GB2312" w:cs="Times New Roman"/>
          <w:b/>
          <w:color w:val="000000" w:themeColor="text1"/>
          <w:sz w:val="32"/>
          <w:szCs w:val="32"/>
          <w:u w:val="none"/>
          <w14:textFill>
            <w14:solidFill>
              <w14:schemeClr w14:val="tx1"/>
            </w14:solidFill>
          </w14:textFill>
        </w:rPr>
        <w:t>本次定向选调和“优培计划”招聘包括哪些程序步骤？</w:t>
      </w:r>
    </w:p>
    <w:p w14:paraId="2BF6534F">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本次定向选调严格按照公务员考录有关规定开展，“优培计划”招聘工作结合企事业单位招聘要求参照执行。</w:t>
      </w:r>
    </w:p>
    <w:p w14:paraId="2CEBACAC">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定向选调和“优培计划”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类招聘采取统一笔试、分类面试方式开展，主要程序包括网上报名、资格</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审查</w:t>
      </w:r>
      <w:r>
        <w:rPr>
          <w:rFonts w:hint="default" w:ascii="Times New Roman" w:hAnsi="Times New Roman" w:eastAsia="仿宋_GB2312" w:cs="Times New Roman"/>
          <w:color w:val="000000" w:themeColor="text1"/>
          <w:sz w:val="32"/>
          <w:szCs w:val="32"/>
          <w:u w:val="none"/>
          <w14:textFill>
            <w14:solidFill>
              <w14:schemeClr w14:val="tx1"/>
            </w14:solidFill>
          </w14:textFill>
        </w:rPr>
        <w:t>、组织推荐、笔试、资格复审、调剂、面试、体检、考察、公示等步骤。</w:t>
      </w:r>
    </w:p>
    <w:p w14:paraId="4BF1CA99">
      <w:pPr>
        <w:shd w:val="clear"/>
        <w:adjustRightInd w:val="0"/>
        <w:snapToGrid w:val="0"/>
        <w:spacing w:beforeLines="0" w:afterLines="0" w:line="560" w:lineRule="exact"/>
        <w:ind w:firstLine="640" w:firstLineChars="200"/>
        <w:rPr>
          <w:rFonts w:hint="default" w:ascii="Times New Roman" w:hAnsi="Times New Roman"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Ⅱ</w:t>
      </w:r>
      <w:r>
        <w:rPr>
          <w:rFonts w:hint="default" w:ascii="Times New Roman" w:hAnsi="Times New Roman" w:eastAsia="仿宋_GB2312" w:cs="Times New Roman"/>
          <w:color w:val="000000" w:themeColor="text1"/>
          <w:sz w:val="32"/>
          <w:szCs w:val="32"/>
          <w:u w:val="none"/>
          <w14:textFill>
            <w14:solidFill>
              <w14:schemeClr w14:val="tx1"/>
            </w14:solidFill>
          </w14:textFill>
        </w:rPr>
        <w:t>类招聘的主要程序至少包括网上报名、资格</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审查</w:t>
      </w:r>
      <w:r>
        <w:rPr>
          <w:rFonts w:hint="default" w:ascii="Times New Roman" w:hAnsi="Times New Roman" w:eastAsia="仿宋_GB2312" w:cs="Times New Roman"/>
          <w:color w:val="000000" w:themeColor="text1"/>
          <w:sz w:val="32"/>
          <w:szCs w:val="32"/>
          <w:u w:val="none"/>
          <w14:textFill>
            <w14:solidFill>
              <w14:schemeClr w14:val="tx1"/>
            </w14:solidFill>
          </w14:textFill>
        </w:rPr>
        <w:t>、组织推荐、能力测评、体检、考察、公示等步骤，招聘单位可结合实际增加环节。仅报考“优培计划”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Ⅱ</w:t>
      </w:r>
      <w:r>
        <w:rPr>
          <w:rFonts w:hint="default" w:ascii="Times New Roman" w:hAnsi="Times New Roman" w:eastAsia="仿宋_GB2312" w:cs="Times New Roman"/>
          <w:color w:val="000000" w:themeColor="text1"/>
          <w:sz w:val="32"/>
          <w:szCs w:val="32"/>
          <w:u w:val="none"/>
          <w14:textFill>
            <w14:solidFill>
              <w14:schemeClr w14:val="tx1"/>
            </w14:solidFill>
          </w14:textFill>
        </w:rPr>
        <w:t>类的考生</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不参加定向选调笔试，</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具体招聘</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环节由各单位自行组织，工作流程和相关要求可查询各单位网站发布的招聘公告。</w:t>
      </w:r>
    </w:p>
    <w:p w14:paraId="433FF2EF">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p>
    <w:p w14:paraId="18E00B0F">
      <w:pPr>
        <w:shd w:val="clear"/>
        <w:spacing w:beforeLines="0" w:afterLines="0" w:line="560" w:lineRule="exact"/>
        <w:ind w:firstLine="640" w:firstLineChars="200"/>
        <w:outlineLvl w:val="1"/>
        <w:rPr>
          <w:rFonts w:hint="default" w:ascii="Times New Roman" w:hAnsi="Times New Roman"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二、关于报考条件</w:t>
      </w:r>
    </w:p>
    <w:p w14:paraId="3B92001D">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2"/>
          <w:sz w:val="32"/>
          <w:szCs w:val="32"/>
          <w:u w:val="none"/>
          <w14:textFill>
            <w14:solidFill>
              <w14:schemeClr w14:val="tx1"/>
            </w14:solidFill>
          </w14:textFill>
        </w:rPr>
        <w:t>应届毕业生报考的年龄如何计算？</w:t>
      </w:r>
    </w:p>
    <w:p w14:paraId="341FF27B">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本科生一般不超过24周岁（</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2001</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年10月1日及以后出生），硕士研究生一般不超过27周岁（199</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年10月1日及以后出生），博士研究生一般不超过30周岁（199</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年10月1日及以后出生）。</w:t>
      </w:r>
      <w:r>
        <w:rPr>
          <w:rFonts w:hint="default" w:ascii="Times New Roman" w:hAnsi="Times New Roman" w:eastAsia="仿宋_GB2312" w:cs="Times New Roman"/>
          <w:color w:val="000000" w:themeColor="text1"/>
          <w:sz w:val="32"/>
          <w:szCs w:val="32"/>
          <w:u w:val="none"/>
          <w14:textFill>
            <w14:solidFill>
              <w14:schemeClr w14:val="tx1"/>
            </w14:solidFill>
          </w14:textFill>
        </w:rPr>
        <w:t>对具有参军入伍经历的毕业生，</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报考年龄可放宽2岁。</w:t>
      </w:r>
    </w:p>
    <w:p w14:paraId="082D17A7">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《中华人民共和国公务员法》规定的应具备条件有哪些？</w:t>
      </w:r>
    </w:p>
    <w:p w14:paraId="324B1F5A">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《中华人民共和国公务员法》第13条规定，公务员应当具备下列条件：</w:t>
      </w:r>
    </w:p>
    <w:p w14:paraId="2E686ABD">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（1）具有中华人民共和国国籍；</w:t>
      </w:r>
    </w:p>
    <w:p w14:paraId="1A06054A">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（2）年满十八周岁；</w:t>
      </w:r>
    </w:p>
    <w:p w14:paraId="05453AB7">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（3）拥护中华人民共和国宪法，拥护中国共产党领导和社会主义制度；</w:t>
      </w:r>
    </w:p>
    <w:p w14:paraId="0B5ACA90">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（4）具有良好的政治素质和道德品行；</w:t>
      </w:r>
    </w:p>
    <w:p w14:paraId="388B59B9">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（5）具有正常履行职责的身体条件和心理素质；</w:t>
      </w:r>
    </w:p>
    <w:p w14:paraId="4EBA90BC">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（6）具有符合职位要求的文化程度和工作能力；</w:t>
      </w:r>
    </w:p>
    <w:p w14:paraId="09D3B6B8">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（7）法律规定的其他条件。</w:t>
      </w:r>
    </w:p>
    <w:p w14:paraId="6ABAE1B2">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“在选调和招聘高校就读期间”获得相关荣誉或奖励如何把握？</w:t>
      </w:r>
    </w:p>
    <w:p w14:paraId="69312ACC">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报考人员在本科或研究生学习期间为选调和招聘高校或学科学生，且获得过校级及以上“三好学生”“优秀学生干部”</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“优秀共产党员”</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或者校级一等及以上学生奖学金等荣誉或奖励，可以报考；其中，报考人员仅在20所北京市属高校高精尖学科学习期间获得过校级及以上“三好学生”“优秀学生干部”</w:t>
      </w:r>
      <w:r>
        <w:rPr>
          <w:rFonts w:hint="default" w:ascii="Times New Roman" w:hAnsi="Times New Roman" w:eastAsia="仿宋_GB2312" w:cs="Times New Roman"/>
          <w:color w:val="000000" w:themeColor="text1"/>
          <w:kern w:val="0"/>
          <w:sz w:val="32"/>
          <w:szCs w:val="32"/>
          <w:u w:val="none"/>
          <w:shd w:val="clear" w:color="auto" w:fill="FFFFFF"/>
          <w:lang w:eastAsia="zh-CN"/>
          <w14:textFill>
            <w14:solidFill>
              <w14:schemeClr w14:val="tx1"/>
            </w14:solidFill>
          </w14:textFill>
        </w:rPr>
        <w:t>“优秀共产党员”</w:t>
      </w:r>
      <w:r>
        <w:rPr>
          <w:rFonts w:hint="default" w:ascii="Times New Roman" w:hAnsi="Times New Roman" w:eastAsia="仿宋_GB2312" w:cs="Times New Roman"/>
          <w:color w:val="000000" w:themeColor="text1"/>
          <w:kern w:val="0"/>
          <w:sz w:val="32"/>
          <w:szCs w:val="32"/>
          <w:u w:val="none"/>
          <w:shd w:val="clear" w:color="auto" w:fill="FFFFFF"/>
          <w14:textFill>
            <w14:solidFill>
              <w14:schemeClr w14:val="tx1"/>
            </w14:solidFill>
          </w14:textFill>
        </w:rPr>
        <w:t>或者校级一等及以上学生奖学金等荣誉或奖励，仅限报考“优培计划”职位。</w:t>
      </w:r>
    </w:p>
    <w:p w14:paraId="61193435">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校级及以上“三好学生”“优秀学生干部”</w:t>
      </w:r>
      <w:r>
        <w:rPr>
          <w:rFonts w:hint="default" w:ascii="Times New Roman" w:hAnsi="Times New Roman" w:eastAsia="楷体_GB2312" w:cs="Times New Roman"/>
          <w:b/>
          <w:color w:val="000000" w:themeColor="text1"/>
          <w:kern w:val="0"/>
          <w:sz w:val="32"/>
          <w:szCs w:val="32"/>
          <w:u w:val="none"/>
          <w:lang w:eastAsia="zh-CN"/>
          <w14:textFill>
            <w14:solidFill>
              <w14:schemeClr w14:val="tx1"/>
            </w14:solidFill>
          </w14:textFill>
        </w:rPr>
        <w:t>“优秀共产党员”</w:t>
      </w: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或者校级一等及以上学生奖学金如何把握？</w:t>
      </w:r>
    </w:p>
    <w:p w14:paraId="4E8E0737">
      <w:pPr>
        <w:pStyle w:val="9"/>
        <w:widowControl w:val="0"/>
        <w:shd w:val="clear"/>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kern w:val="2"/>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校级及以上“三好学生”包括：校级及以上三好学生、优秀学生、优秀研究生。除“三好学生”奖励外的其他奖励，需报考人员所在学校在推荐表予以说明，内容为“未设置‘三好学生’奖励，该项奖励视同为‘三好学生’奖励”。</w:t>
      </w:r>
    </w:p>
    <w:p w14:paraId="3BDF3D9D">
      <w:pPr>
        <w:pStyle w:val="9"/>
        <w:widowControl w:val="0"/>
        <w:shd w:val="clear"/>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kern w:val="2"/>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校级及以上“优秀学生干部”包括：校级及以上优秀学生干部、</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优秀研究生干部、</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优秀党支部书记、优秀团干部。</w:t>
      </w:r>
    </w:p>
    <w:p w14:paraId="1688EDF5">
      <w:pPr>
        <w:pStyle w:val="9"/>
        <w:widowControl w:val="0"/>
        <w:shd w:val="clear"/>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kern w:val="2"/>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校级及以上“优秀</w:t>
      </w:r>
      <w:r>
        <w:rPr>
          <w:rFonts w:hint="default" w:ascii="Times New Roman" w:hAnsi="Times New Roman" w:eastAsia="仿宋_GB2312" w:cs="Times New Roman"/>
          <w:color w:val="000000" w:themeColor="text1"/>
          <w:kern w:val="2"/>
          <w:sz w:val="32"/>
          <w:szCs w:val="32"/>
          <w:u w:val="none"/>
          <w:lang w:eastAsia="zh-CN"/>
          <w14:textFill>
            <w14:solidFill>
              <w14:schemeClr w14:val="tx1"/>
            </w14:solidFill>
          </w14:textFill>
        </w:rPr>
        <w:t>共产党员</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”包括：校级及以上优秀</w:t>
      </w:r>
      <w:r>
        <w:rPr>
          <w:rFonts w:hint="default" w:ascii="Times New Roman" w:hAnsi="Times New Roman" w:eastAsia="仿宋_GB2312" w:cs="Times New Roman"/>
          <w:color w:val="000000" w:themeColor="text1"/>
          <w:kern w:val="2"/>
          <w:sz w:val="32"/>
          <w:szCs w:val="32"/>
          <w:u w:val="none"/>
          <w:lang w:eastAsia="zh-CN"/>
          <w14:textFill>
            <w14:solidFill>
              <w14:schemeClr w14:val="tx1"/>
            </w14:solidFill>
          </w14:textFill>
        </w:rPr>
        <w:t>共产党员</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优秀</w:t>
      </w:r>
      <w:r>
        <w:rPr>
          <w:rFonts w:hint="default"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党务工作者</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w:t>
      </w:r>
    </w:p>
    <w:p w14:paraId="5B4D7F42">
      <w:pPr>
        <w:pStyle w:val="9"/>
        <w:widowControl w:val="0"/>
        <w:shd w:val="clear"/>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kern w:val="2"/>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校级一等及以上学生奖学金包括：国家奖学金、国家励志奖学金、</w:t>
      </w:r>
      <w:r>
        <w:rPr>
          <w:rFonts w:hint="eastAsia" w:ascii="Times New Roman" w:hAnsi="Times New Roman" w:eastAsia="仿宋_GB2312" w:cs="Times New Roman"/>
          <w:color w:val="000000" w:themeColor="text1"/>
          <w:kern w:val="2"/>
          <w:sz w:val="32"/>
          <w:szCs w:val="32"/>
          <w:u w:val="none"/>
          <w:lang w:eastAsia="zh-CN"/>
          <w14:textFill>
            <w14:solidFill>
              <w14:schemeClr w14:val="tx1"/>
            </w14:solidFill>
          </w14:textFill>
        </w:rPr>
        <w:t>省级奖学金、</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校级一等学生奖学金。校级一等学生奖学金一般指一等综合奖学金。如报考人员所在学校只设单项奖学金，获得学习类单项奖学金且该项奖学金获奖比例不高于校级一等学生奖学金的人员可报考；获得学校认定视同一等学生奖学金的其他奖学金的人员可报考。上述两种情况，需报考人员所在学校在推荐表予以说明，内容为“未设置‘一等学生奖学金’，该项奖学金视同为‘一等学生奖学金’”。</w:t>
      </w:r>
    </w:p>
    <w:p w14:paraId="755AD272">
      <w:pPr>
        <w:shd w:val="clear"/>
        <w:adjustRightInd w:val="0"/>
        <w:snapToGrid w:val="0"/>
        <w:spacing w:beforeLines="0" w:afterLines="0" w:line="560" w:lineRule="exact"/>
        <w:ind w:firstLine="640" w:firstLineChars="200"/>
        <w:rPr>
          <w:rFonts w:hint="eastAsia" w:ascii="Times New Roman" w:hAnsi="Times New Roman" w:eastAsia="仿宋_GB2312" w:cs="Times New Roman"/>
          <w:b/>
          <w:color w:val="000000" w:themeColor="text1"/>
          <w:kern w:val="0"/>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以上所获荣誉或奖励均应填写在推荐表、个人信息表和报名系统的相关信息栏，标注荣誉或奖励名称、授予或表彰机构名称、授予或表彰时间</w:t>
      </w:r>
      <w:r>
        <w:rPr>
          <w:rFonts w:hint="eastAsia" w:eastAsia="仿宋_GB2312" w:cs="Times New Roman"/>
          <w:color w:val="000000" w:themeColor="text1"/>
          <w:sz w:val="32"/>
          <w:szCs w:val="32"/>
          <w:u w:val="none"/>
          <w:lang w:eastAsia="zh-CN"/>
          <w14:textFill>
            <w14:solidFill>
              <w14:schemeClr w14:val="tx1"/>
            </w14:solidFill>
          </w14:textFill>
        </w:rPr>
        <w:t>，并附相关荣誉或奖励材料扫描件。</w:t>
      </w:r>
    </w:p>
    <w:p w14:paraId="4666A651">
      <w:pPr>
        <w:numPr>
          <w:ilvl w:val="0"/>
          <w:numId w:val="1"/>
        </w:numPr>
        <w:shd w:val="clear"/>
        <w:adjustRightInd w:val="0"/>
        <w:snapToGrid w:val="0"/>
        <w:spacing w:beforeLines="0" w:afterLines="0" w:line="560" w:lineRule="exact"/>
        <w:ind w:firstLine="643" w:firstLineChars="200"/>
        <w:outlineLvl w:val="2"/>
        <w:rPr>
          <w:rFonts w:hint="default" w:ascii="Times New Roman" w:hAnsi="Times New Roman" w:cs="Times New Roman"/>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哪些人员不能参加本次定向选调和“优培计划”招聘？</w:t>
      </w:r>
    </w:p>
    <w:p w14:paraId="35A75710">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因违法违纪受过处分的人员，因犯罪受过刑事处罚的人员和被开除公职的人员，在各级公务员招考中被认定有舞弊等严重违反录用纪律行为的人员，公务员和参照公务员法管理的机关（单位）工作人员被辞退未满5年的，以及法律法规规定不得录用或聘用的其他情形的人员，不得报考。</w:t>
      </w:r>
    </w:p>
    <w:p w14:paraId="0D8ACFFA">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此外，报考人员不得报考与定向选调和“优培计划”招聘单位人员有</w:t>
      </w:r>
      <w:r>
        <w:rPr>
          <w:rFonts w:hint="default" w:ascii="Times New Roman" w:hAnsi="Times New Roman" w:eastAsia="仿宋_GB2312" w:cs="Times New Roman"/>
          <w:color w:val="000000" w:themeColor="text1"/>
          <w:sz w:val="32"/>
          <w:szCs w:val="32"/>
          <w:u w:val="none"/>
          <w14:textFill>
            <w14:solidFill>
              <w14:schemeClr w14:val="tx1"/>
            </w14:solidFill>
          </w14:textFill>
        </w:rPr>
        <w:t>《中华人民共和国公务员法》</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第七十四条规定、《事业单位人事管理回避规定》等有关法律规定所列情形的职位</w:t>
      </w:r>
      <w:r>
        <w:rPr>
          <w:rFonts w:hint="eastAsia" w:eastAsia="仿宋_GB2312" w:cs="Times New Roman"/>
          <w:color w:val="000000" w:themeColor="text1"/>
          <w:kern w:val="0"/>
          <w:sz w:val="32"/>
          <w:szCs w:val="32"/>
          <w:u w:val="none"/>
          <w:lang w:eastAsia="zh-CN"/>
          <w14:textFill>
            <w14:solidFill>
              <w14:schemeClr w14:val="tx1"/>
            </w14:solidFill>
          </w14:textFill>
        </w:rPr>
        <w:t>，就读最高学历期间未与任何单位存在劳动（录用、聘用）关系。</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在录用或聘用过程中，发现报考人员存在上述不得报考情形的，将取消其报考资格或者录用聘用资格。</w:t>
      </w:r>
    </w:p>
    <w:p w14:paraId="11DEE4C9">
      <w:pPr>
        <w:numPr>
          <w:ilvl w:val="0"/>
          <w:numId w:val="1"/>
        </w:numPr>
        <w:shd w:val="clear"/>
        <w:spacing w:beforeLines="0" w:afterLines="0" w:line="560" w:lineRule="exact"/>
        <w:ind w:firstLine="643" w:firstLineChars="200"/>
        <w:outlineLvl w:val="2"/>
        <w:rPr>
          <w:rFonts w:hint="default" w:ascii="Times New Roman" w:hAnsi="Times New Roman" w:cs="Times New Roman"/>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《选调简章》和《招聘简章》中所要求的学历如何</w:t>
      </w:r>
      <w:r>
        <w:rPr>
          <w:rFonts w:hint="default" w:ascii="Times New Roman" w:hAnsi="Times New Roman" w:eastAsia="楷体_GB2312" w:cs="Times New Roman"/>
          <w:b/>
          <w:color w:val="000000" w:themeColor="text1"/>
          <w:kern w:val="0"/>
          <w:sz w:val="32"/>
          <w:szCs w:val="32"/>
          <w:u w:val="none"/>
          <w:lang w:eastAsia="zh-CN"/>
          <w14:textFill>
            <w14:solidFill>
              <w14:schemeClr w14:val="tx1"/>
            </w14:solidFill>
          </w14:textFill>
        </w:rPr>
        <w:t>把握，</w:t>
      </w:r>
      <w:r>
        <w:rPr>
          <w:rFonts w:hint="default" w:ascii="Times New Roman" w:hAnsi="Times New Roman" w:eastAsia="楷体_GB2312" w:cs="Times New Roman"/>
          <w:b/>
          <w:bCs w:val="0"/>
          <w:color w:val="000000" w:themeColor="text1"/>
          <w:kern w:val="0"/>
          <w:sz w:val="32"/>
          <w:szCs w:val="32"/>
          <w:lang w:val="en-US" w:eastAsia="zh-CN"/>
          <w14:textFill>
            <w14:solidFill>
              <w14:schemeClr w14:val="tx1"/>
            </w14:solidFill>
          </w14:textFill>
        </w:rPr>
        <w:t>本科学校在选调和招聘高校范围内，研究生学校不在范围内，能否以本科学校报考？</w:t>
      </w:r>
    </w:p>
    <w:p w14:paraId="09C3A8F4">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《选调简章》和《招聘简章》中所要求的学历为应届高校毕业生即将获得的最高学历。</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职位</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要求仅限本科学历的，硕士研究生和博士研究生不能以本科学历报考。</w:t>
      </w:r>
    </w:p>
    <w:p w14:paraId="64491628">
      <w:pPr>
        <w:numPr>
          <w:ilvl w:val="0"/>
          <w:numId w:val="1"/>
        </w:numPr>
        <w:shd w:val="clear"/>
        <w:spacing w:beforeLines="0" w:afterLines="0" w:line="560" w:lineRule="exact"/>
        <w:ind w:firstLine="643" w:firstLineChars="200"/>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《选调简章》和《招聘简章》中所要求的专业如何把握？</w:t>
      </w:r>
    </w:p>
    <w:p w14:paraId="5078BA56">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应为最高学历期间所学专业。本科专业分类参见《普通高等学校本科专业目录》，研究生专业分类参见《研究生教育学科专业目录》。报考人员可在教育部网站查询以上两个目录，并参照确定所学专业是否符合职位要求。</w:t>
      </w:r>
    </w:p>
    <w:p w14:paraId="662DB2ED">
      <w:pPr>
        <w:widowControl/>
        <w:numPr>
          <w:ilvl w:val="0"/>
          <w:numId w:val="1"/>
        </w:numPr>
        <w:shd w:val="clear"/>
        <w:spacing w:beforeLines="0" w:afterLines="0" w:line="560" w:lineRule="exact"/>
        <w:ind w:firstLine="643" w:firstLineChars="200"/>
        <w:jc w:val="both"/>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资格条件中要求的各项资质（资格）的截止时间是如何确定的？</w:t>
      </w:r>
    </w:p>
    <w:p w14:paraId="1AC858FE">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年应届毕业生一般应在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年7月底前取得相关学历、学位。职位要求的其他资格条件（如政治面貌、荣誉奖励等）应在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年9月2</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日前取得。</w:t>
      </w:r>
    </w:p>
    <w:p w14:paraId="5FBA7BD1">
      <w:pPr>
        <w:shd w:val="clear" w:color="auto"/>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三、关于报名和资格审查</w:t>
      </w:r>
    </w:p>
    <w:p w14:paraId="49689FFE">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报名工作在网上进行，不设现场报名，报考人员通过北京市人力资源和社会保障局网站人事考试频道（网址为http://rsj.beijing.gov.cn/ywsite/bjpta/，以下简称“报名系统”）进行报考。</w:t>
      </w:r>
    </w:p>
    <w:p w14:paraId="193A6676">
      <w:pPr>
        <w:widowControl/>
        <w:numPr>
          <w:ilvl w:val="0"/>
          <w:numId w:val="1"/>
        </w:numPr>
        <w:shd w:val="clear"/>
        <w:snapToGrid/>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网上报名有哪些注意事项？</w:t>
      </w:r>
    </w:p>
    <w:p w14:paraId="74B52796">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报名时间：</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年9月2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u w:val="none"/>
          <w14:textFill>
            <w14:solidFill>
              <w14:schemeClr w14:val="tx1"/>
            </w14:solidFill>
          </w14:textFill>
        </w:rPr>
        <w:t>日9:00至9月2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u w:val="none"/>
          <w14:textFill>
            <w14:solidFill>
              <w14:schemeClr w14:val="tx1"/>
            </w14:solidFill>
          </w14:textFill>
        </w:rPr>
        <w:t>日18:00。</w:t>
      </w:r>
    </w:p>
    <w:p w14:paraId="2D1D59C6">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（1）注册及身份确认：报考人员须登录报名系统，进入“北京市</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u w:val="none"/>
          <w14:textFill>
            <w14:solidFill>
              <w14:schemeClr w14:val="tx1"/>
            </w14:solidFill>
          </w14:textFill>
        </w:rPr>
        <w:t>年度定向选调和‘优培计划’招聘应届优秀大学毕业生”页面。新用户按照系统要求注册账号，进行实名认证。</w:t>
      </w:r>
    </w:p>
    <w:p w14:paraId="7EF73712">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（2）提交本人基本信息：已成功注册的报考人员可以使用注册账号进行登录。成功登录后，阅读公告、报考指南等考试要求，按照系统的提示填写、提交本人基本信息。</w:t>
      </w:r>
    </w:p>
    <w:p w14:paraId="25EF7719">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3）上传照片：上传本人近期正面免冠证件照，要求：二寸（34mm*45mm），jpg格式，大小在35-100KB之间，宽度大于400像素，高度大于600像素，照片的背景应无任何装饰、人像清晰、无明显畸变，不能上传生活照、艺术照。</w:t>
      </w:r>
    </w:p>
    <w:p w14:paraId="4C9825F8">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（4）上传个人信息表：主要包括学习经历、学生工作经历、实习实践经历、获奖情况、学术研究情况、家庭成员及主要社会关系等内容，可附相关证明材料。</w:t>
      </w:r>
    </w:p>
    <w:p w14:paraId="0506FFD1">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（5）提交职位申请：查询职位，进行报名提交。提交报考职位后，将无法修改。报考人员要认真如实填报相关信息，遇到问题及时咨询。</w:t>
      </w:r>
    </w:p>
    <w:p w14:paraId="55B59126">
      <w:pPr>
        <w:widowControl/>
        <w:numPr>
          <w:ilvl w:val="0"/>
          <w:numId w:val="1"/>
        </w:numPr>
        <w:shd w:val="clear"/>
        <w:adjustRightInd/>
        <w:snapToGrid/>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如何查询资格审查结果？</w:t>
      </w:r>
    </w:p>
    <w:p w14:paraId="2FE8B4E2">
      <w:pPr>
        <w:shd w:val="clear"/>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报考人员提交职位申请后，可登录报名系统查询是否通过资格审查。如审查结果为不通过，报考人员可重新申报职位，但重新申报职位必须在</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年9月2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u w:val="none"/>
          <w14:textFill>
            <w14:solidFill>
              <w14:schemeClr w14:val="tx1"/>
            </w14:solidFill>
          </w14:textFill>
        </w:rPr>
        <w:t>日18:00前完成。</w:t>
      </w:r>
    </w:p>
    <w:p w14:paraId="5E5C46FB">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报名期间，资格审查工作由谁负责？</w:t>
      </w:r>
    </w:p>
    <w:p w14:paraId="6E8C32A4">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报名期间的资格审查工作由定向选调</w:t>
      </w:r>
      <w:r>
        <w:rPr>
          <w:rFonts w:hint="default" w:ascii="Times New Roman" w:hAnsi="Times New Roman" w:eastAsia="仿宋_GB2312" w:cs="Times New Roman"/>
          <w:color w:val="000000" w:themeColor="text1"/>
          <w:sz w:val="32"/>
          <w:szCs w:val="32"/>
          <w:u w:val="none"/>
          <w14:textFill>
            <w14:solidFill>
              <w14:schemeClr w14:val="tx1"/>
            </w14:solidFill>
          </w14:textFill>
        </w:rPr>
        <w:t>或“优培计划”招聘</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单位负责。资格审查贯穿录用全过程，在各环节发现报考者存在不得报考的情形或者不符合报考资格条件的，选调单位和“优培计划”招聘单位</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均</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可以取消其报考资格或者录用</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聘用</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资格。</w:t>
      </w:r>
    </w:p>
    <w:p w14:paraId="11A10DA8">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资格审查的主要依据是什么？</w:t>
      </w:r>
    </w:p>
    <w:p w14:paraId="5E310AB3">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选调单位和“优培计划”招聘单位根据公务员录用、企事业单位人员聘用等相关法律法规和公布的资格条件、拟任职位所要求的资格条件对报考申请进行审查，审查意见包括“合格”“不合格”2种情形。</w:t>
      </w:r>
    </w:p>
    <w:p w14:paraId="43226BCC">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对职位要求的资格条件有疑问的，如何咨询？</w:t>
      </w:r>
    </w:p>
    <w:p w14:paraId="204E8E61">
      <w:pPr>
        <w:shd w:val="clear"/>
        <w:adjustRightInd w:val="0"/>
        <w:snapToGrid w:val="0"/>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对《选调简章》《招聘简章》中职位要求的资格条件和其他内容有疑问的，请直接与定向选调</w:t>
      </w:r>
      <w:r>
        <w:rPr>
          <w:rFonts w:hint="default" w:ascii="Times New Roman" w:hAnsi="Times New Roman" w:eastAsia="仿宋_GB2312" w:cs="Times New Roman"/>
          <w:color w:val="000000" w:themeColor="text1"/>
          <w:sz w:val="32"/>
          <w:szCs w:val="32"/>
          <w:u w:val="none"/>
          <w14:textFill>
            <w14:solidFill>
              <w14:schemeClr w14:val="tx1"/>
            </w14:solidFill>
          </w14:textFill>
        </w:rPr>
        <w:t>或“优培计划”招聘</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单位联系，选调或招聘单位的咨询电话可通过《选调简章》《招聘简章》查询。</w:t>
      </w:r>
    </w:p>
    <w:p w14:paraId="3C565560">
      <w:pPr>
        <w:shd w:val="clear"/>
        <w:adjustRightInd w:val="0"/>
        <w:snapToGrid w:val="0"/>
        <w:spacing w:beforeLines="0" w:afterLines="0" w:line="560" w:lineRule="exact"/>
        <w:ind w:firstLine="640" w:firstLineChars="200"/>
        <w:outlineLvl w:val="1"/>
        <w:rPr>
          <w:rFonts w:hint="default" w:ascii="Times New Roman" w:hAnsi="Times New Roman" w:eastAsia="楷体_GB2312" w:cs="Times New Roman"/>
          <w:b/>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四、关于笔试</w:t>
      </w:r>
    </w:p>
    <w:p w14:paraId="2942BD38">
      <w:pPr>
        <w:shd w:val="clear"/>
        <w:adjustRightInd w:val="0"/>
        <w:snapToGrid w:val="0"/>
        <w:spacing w:beforeLines="0" w:afterLines="0" w:line="560" w:lineRule="exact"/>
        <w:ind w:firstLine="640" w:firstLineChars="200"/>
        <w:rPr>
          <w:rFonts w:hint="default" w:ascii="Times New Roman" w:hAnsi="Times New Roman" w:eastAsia="楷体_GB2312" w:cs="Times New Roman"/>
          <w:b/>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报考定向选调职位或“优培计划”</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Ⅰ</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类职位的考生参加统一笔试，仅报考“优培计划”</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类职位的考生不安排统一笔试。</w:t>
      </w:r>
    </w:p>
    <w:p w14:paraId="0BBC5784">
      <w:pPr>
        <w:widowControl/>
        <w:numPr>
          <w:ilvl w:val="0"/>
          <w:numId w:val="1"/>
        </w:numPr>
        <w:shd w:val="clear"/>
        <w:adjustRightInd/>
        <w:snapToGrid/>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如何打印准考证？</w:t>
      </w:r>
    </w:p>
    <w:p w14:paraId="007DACBC">
      <w:pPr>
        <w:shd w:val="clear"/>
        <w:spacing w:beforeLines="0" w:afterLines="0" w:line="560" w:lineRule="exact"/>
        <w:ind w:firstLine="640" w:firstLineChars="200"/>
        <w:rPr>
          <w:rFonts w:hint="default" w:ascii="Times New Roman" w:hAnsi="Times New Roman" w:eastAsia="仿宋"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打印准考证时间为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年10月1</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u w:val="none"/>
          <w14:textFill>
            <w14:solidFill>
              <w14:schemeClr w14:val="tx1"/>
            </w14:solidFill>
          </w14:textFill>
        </w:rPr>
        <w:t>日</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u w:val="none"/>
          <w14:textFill>
            <w14:solidFill>
              <w14:schemeClr w14:val="tx1"/>
            </w14:solidFill>
          </w14:textFill>
        </w:rPr>
        <w:t>:00至10月</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u w:val="none"/>
          <w14:textFill>
            <w14:solidFill>
              <w14:schemeClr w14:val="tx1"/>
            </w14:solidFill>
          </w14:textFill>
        </w:rPr>
        <w:t>日9:30。凡已成功完成网上报名并</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审查</w:t>
      </w:r>
      <w:r>
        <w:rPr>
          <w:rFonts w:hint="default" w:ascii="Times New Roman" w:hAnsi="Times New Roman" w:eastAsia="仿宋_GB2312" w:cs="Times New Roman"/>
          <w:color w:val="000000" w:themeColor="text1"/>
          <w:sz w:val="32"/>
          <w:szCs w:val="32"/>
          <w:u w:val="none"/>
          <w14:textFill>
            <w14:solidFill>
              <w14:schemeClr w14:val="tx1"/>
            </w14:solidFill>
          </w14:textFill>
        </w:rPr>
        <w:t>通过的报考人员登录报名系统打印准考证，凭此准考证和本人有效身份证原件在规定时间、地点参加考试。</w:t>
      </w:r>
    </w:p>
    <w:p w14:paraId="575CF7AB">
      <w:pPr>
        <w:widowControl/>
        <w:numPr>
          <w:ilvl w:val="0"/>
          <w:numId w:val="1"/>
        </w:numPr>
        <w:shd w:val="clear"/>
        <w:adjustRightInd/>
        <w:snapToGrid/>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参加笔试有哪些注意事项？</w:t>
      </w:r>
    </w:p>
    <w:p w14:paraId="07C7EE86">
      <w:pPr>
        <w:shd w:val="clear"/>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笔试时间为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4"/>
          <w:sz w:val="32"/>
          <w:szCs w:val="32"/>
          <w:u w:val="none"/>
          <w14:textFill>
            <w14:solidFill>
              <w14:schemeClr w14:val="tx1"/>
            </w14:solidFill>
          </w14:textFill>
        </w:rPr>
        <w:t>年10月</w:t>
      </w:r>
      <w:r>
        <w:rPr>
          <w:rFonts w:hint="default" w:ascii="Times New Roman" w:hAnsi="Times New Roman" w:eastAsia="仿宋_GB2312" w:cs="Times New Roman"/>
          <w:color w:val="000000" w:themeColor="text1"/>
          <w:spacing w:val="-4"/>
          <w:sz w:val="32"/>
          <w:szCs w:val="32"/>
          <w:u w:val="none"/>
          <w:lang w:val="en-US" w:eastAsia="zh-CN"/>
          <w14:textFill>
            <w14:solidFill>
              <w14:schemeClr w14:val="tx1"/>
            </w14:solidFill>
          </w14:textFill>
        </w:rPr>
        <w:t>17</w:t>
      </w:r>
      <w:r>
        <w:rPr>
          <w:rFonts w:hint="default" w:ascii="Times New Roman" w:hAnsi="Times New Roman" w:eastAsia="仿宋_GB2312" w:cs="Times New Roman"/>
          <w:color w:val="000000" w:themeColor="text1"/>
          <w:spacing w:val="-4"/>
          <w:sz w:val="32"/>
          <w:szCs w:val="32"/>
          <w:u w:val="none"/>
          <w14:textFill>
            <w14:solidFill>
              <w14:schemeClr w14:val="tx1"/>
            </w14:solidFill>
          </w14:textFill>
        </w:rPr>
        <w:t>日（星期</w:t>
      </w:r>
      <w:r>
        <w:rPr>
          <w:rFonts w:hint="default" w:ascii="Times New Roman" w:hAnsi="Times New Roman" w:eastAsia="仿宋_GB2312" w:cs="Times New Roman"/>
          <w:color w:val="000000" w:themeColor="text1"/>
          <w:spacing w:val="-4"/>
          <w:sz w:val="32"/>
          <w:szCs w:val="32"/>
          <w:u w:val="none"/>
          <w:lang w:eastAsia="zh-CN"/>
          <w14:textFill>
            <w14:solidFill>
              <w14:schemeClr w14:val="tx1"/>
            </w14:solidFill>
          </w14:textFill>
        </w:rPr>
        <w:t>六</w:t>
      </w:r>
      <w:r>
        <w:rPr>
          <w:rFonts w:hint="default" w:ascii="Times New Roman" w:hAnsi="Times New Roman" w:eastAsia="仿宋_GB2312" w:cs="Times New Roman"/>
          <w:color w:val="000000" w:themeColor="text1"/>
          <w:spacing w:val="-4"/>
          <w:sz w:val="32"/>
          <w:szCs w:val="32"/>
          <w:u w:val="none"/>
          <w14:textFill>
            <w14:solidFill>
              <w14:schemeClr w14:val="tx1"/>
            </w14:solidFill>
          </w14:textFill>
        </w:rPr>
        <w:t>）9:00至11:30。考试科目为《综合能力测试》（以《行政职业能力测验》《申论》内容为主），主要测试基本能力和基本素质。报考人员可参考阅读《北京市各级机关</w:t>
      </w:r>
      <w:r>
        <w:rPr>
          <w:rFonts w:hint="default" w:ascii="Times New Roman" w:hAnsi="Times New Roman" w:eastAsia="仿宋_GB2312" w:cs="Times New Roman"/>
          <w:color w:val="000000" w:themeColor="text1"/>
          <w:spacing w:val="-4"/>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pacing w:val="-4"/>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4"/>
          <w:sz w:val="32"/>
          <w:szCs w:val="32"/>
          <w:u w:val="none"/>
          <w14:textFill>
            <w14:solidFill>
              <w14:schemeClr w14:val="tx1"/>
            </w14:solidFill>
          </w14:textFill>
        </w:rPr>
        <w:t>年度考试录用公务员公共科目考试大纲》。</w:t>
      </w:r>
      <w:r>
        <w:rPr>
          <w:rFonts w:hint="default" w:ascii="Times New Roman" w:hAnsi="Times New Roman" w:eastAsia="仿宋_GB2312" w:cs="Times New Roman"/>
          <w:color w:val="000000" w:themeColor="text1"/>
          <w:sz w:val="32"/>
          <w:szCs w:val="32"/>
          <w:u w:val="none"/>
          <w14:textFill>
            <w14:solidFill>
              <w14:schemeClr w14:val="tx1"/>
            </w14:solidFill>
          </w14:textFill>
        </w:rPr>
        <w:t>参加考试时必须带齐准考证、有效身份证原件，方可进入考场参加考试。未带有效居民身份证的考生不能参加考试。请考生保持报名时填报的联系方式畅通，及时关注短信、网站通知。</w:t>
      </w:r>
    </w:p>
    <w:p w14:paraId="0822E609">
      <w:pPr>
        <w:widowControl/>
        <w:numPr>
          <w:ilvl w:val="0"/>
          <w:numId w:val="1"/>
        </w:numPr>
        <w:shd w:val="clear"/>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如何查询笔试成绩？</w:t>
      </w:r>
    </w:p>
    <w:p w14:paraId="7DAD3CFC">
      <w:pPr>
        <w:shd w:val="clear"/>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报考人员可于</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w:t>
      </w:r>
      <w:r>
        <w:rPr>
          <w:rFonts w:hint="default" w:ascii="Times New Roman" w:hAnsi="Times New Roman" w:eastAsia="仿宋" w:cs="Times New Roman"/>
          <w:color w:val="000000" w:themeColor="text1"/>
          <w:sz w:val="32"/>
          <w:szCs w:val="32"/>
          <w:u w:val="none"/>
          <w14:textFill>
            <w14:solidFill>
              <w14:schemeClr w14:val="tx1"/>
            </w14:solidFill>
          </w14:textFill>
        </w:rPr>
        <w:t>10月</w:t>
      </w:r>
      <w:r>
        <w:rPr>
          <w:rFonts w:hint="default" w:ascii="Times New Roman" w:hAnsi="Times New Roman" w:eastAsia="仿宋" w:cs="Times New Roman"/>
          <w:color w:val="000000" w:themeColor="text1"/>
          <w:sz w:val="32"/>
          <w:szCs w:val="32"/>
          <w:u w:val="none"/>
          <w:lang w:val="en-US" w:eastAsia="zh-CN"/>
          <w14:textFill>
            <w14:solidFill>
              <w14:schemeClr w14:val="tx1"/>
            </w14:solidFill>
          </w14:textFill>
        </w:rPr>
        <w:t>28</w:t>
      </w:r>
      <w:r>
        <w:rPr>
          <w:rFonts w:hint="default" w:ascii="Times New Roman" w:hAnsi="Times New Roman" w:eastAsia="仿宋" w:cs="Times New Roman"/>
          <w:color w:val="000000" w:themeColor="text1"/>
          <w:sz w:val="32"/>
          <w:szCs w:val="32"/>
          <w:u w:val="none"/>
          <w14:textFill>
            <w14:solidFill>
              <w14:schemeClr w14:val="tx1"/>
            </w14:solidFill>
          </w14:textFill>
        </w:rPr>
        <w:t>日</w:t>
      </w:r>
      <w:r>
        <w:rPr>
          <w:rFonts w:hint="default" w:ascii="Times New Roman" w:hAnsi="Times New Roman" w:eastAsia="仿宋_GB2312" w:cs="Times New Roman"/>
          <w:color w:val="000000" w:themeColor="text1"/>
          <w:sz w:val="32"/>
          <w:szCs w:val="32"/>
          <w:u w:val="none"/>
          <w14:textFill>
            <w14:solidFill>
              <w14:schemeClr w14:val="tx1"/>
            </w14:solidFill>
          </w14:textFill>
        </w:rPr>
        <w:t>后登录报名系统查询成绩，打印笔试成绩通知书。</w:t>
      </w:r>
    </w:p>
    <w:p w14:paraId="5F40610C">
      <w:pPr>
        <w:pStyle w:val="21"/>
        <w:widowControl w:val="0"/>
        <w:shd w:val="clear" w:color="auto"/>
        <w:spacing w:before="0" w:beforeLines="0" w:beforeAutospacing="0" w:after="0" w:afterLines="0" w:afterAutospacing="0" w:line="560" w:lineRule="exact"/>
        <w:ind w:firstLine="640" w:firstLineChars="200"/>
        <w:jc w:val="both"/>
        <w:outlineLvl w:val="1"/>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五、关于面试</w:t>
      </w:r>
    </w:p>
    <w:p w14:paraId="7906B2F2">
      <w:pPr>
        <w:widowControl/>
        <w:numPr>
          <w:ilvl w:val="0"/>
          <w:numId w:val="1"/>
        </w:numPr>
        <w:shd w:val="clear"/>
        <w:adjustRightInd/>
        <w:snapToGrid/>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资格复审需要准备哪些材料？</w:t>
      </w:r>
    </w:p>
    <w:p w14:paraId="38A98D61">
      <w:pPr>
        <w:pStyle w:val="21"/>
        <w:widowControl w:val="0"/>
        <w:shd w:val="clear" w:color="auto"/>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拟进入面试的人选由选调或招聘单位通知。参加资格复审时，须持网上打印的报名表、笔试成绩通知书、身份证原件和所报考职位资格条件要求的相关等级、资格、资质证书原件，以及学生证、选调生推荐表</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或“优培计划”人员推荐表（留学回国人员为中共党员的须提供党组织关系所在单位</w:t>
      </w:r>
      <w:r>
        <w:rPr>
          <w:rFonts w:hint="default"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&lt;</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地</w:t>
      </w:r>
      <w:r>
        <w:rPr>
          <w:rFonts w:hint="default" w:ascii="Times New Roman" w:hAnsi="Times New Roman" w:eastAsia="仿宋_GB2312" w:cs="Times New Roman"/>
          <w:color w:val="000000" w:themeColor="text1"/>
          <w:sz w:val="32"/>
          <w:szCs w:val="32"/>
          <w:u w:val="none"/>
          <w:shd w:val="clear" w:color="auto" w:fill="FFFFFF"/>
          <w:lang w:val="en-US" w:eastAsia="zh-CN"/>
          <w14:textFill>
            <w14:solidFill>
              <w14:schemeClr w14:val="tx1"/>
            </w14:solidFill>
          </w14:textFill>
        </w:rPr>
        <w:t>&gt;</w:t>
      </w: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出具的推荐表，非中共党员的须提供本科就读学校出具的推荐表）、</w:t>
      </w:r>
      <w:r>
        <w:rPr>
          <w:rFonts w:hint="default" w:ascii="Times New Roman" w:hAnsi="Times New Roman" w:eastAsia="仿宋_GB2312" w:cs="Times New Roman"/>
          <w:color w:val="000000" w:themeColor="text1"/>
          <w:sz w:val="32"/>
          <w:szCs w:val="32"/>
          <w:u w:val="none"/>
          <w14:textFill>
            <w14:solidFill>
              <w14:schemeClr w14:val="tx1"/>
            </w14:solidFill>
          </w14:textFill>
        </w:rPr>
        <w:t>校级毕业生就业主管部门盖章的毕业生就业推荐表、校级</w:t>
      </w:r>
      <w:r>
        <w:rPr>
          <w:rFonts w:hint="default" w:ascii="Times New Roman" w:hAnsi="Times New Roman" w:eastAsia="仿宋_GB2312" w:cs="Times New Roman"/>
          <w:color w:val="000000" w:themeColor="text1"/>
          <w:kern w:val="2"/>
          <w:sz w:val="32"/>
          <w:szCs w:val="32"/>
          <w:u w:val="none"/>
          <w14:textFill>
            <w14:solidFill>
              <w14:schemeClr w14:val="tx1"/>
            </w14:solidFill>
          </w14:textFill>
        </w:rPr>
        <w:t>及</w:t>
      </w:r>
      <w:r>
        <w:rPr>
          <w:rFonts w:hint="default" w:ascii="Times New Roman" w:hAnsi="Times New Roman" w:eastAsia="仿宋_GB2312" w:cs="Times New Roman"/>
          <w:color w:val="000000" w:themeColor="text1"/>
          <w:sz w:val="32"/>
          <w:szCs w:val="32"/>
          <w:u w:val="none"/>
          <w14:textFill>
            <w14:solidFill>
              <w14:schemeClr w14:val="tx1"/>
            </w14:solidFill>
          </w14:textFill>
        </w:rPr>
        <w:t>以上“三好学生”“优秀学生干部”</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“优秀共产党员”</w:t>
      </w:r>
      <w:r>
        <w:rPr>
          <w:rFonts w:hint="default" w:ascii="Times New Roman" w:hAnsi="Times New Roman" w:eastAsia="仿宋_GB2312" w:cs="Times New Roman"/>
          <w:color w:val="000000" w:themeColor="text1"/>
          <w:sz w:val="32"/>
          <w:szCs w:val="32"/>
          <w:u w:val="none"/>
          <w14:textFill>
            <w14:solidFill>
              <w14:schemeClr w14:val="tx1"/>
            </w14:solidFill>
          </w14:textFill>
        </w:rPr>
        <w:t>或者校级一等及以上学生奖学金证书等相关材料。在京外院校就读的北京生源考生还须携带本人户口簿或户口卡原件。未按规定参加资格复审等后续环节的，视为自动放弃相应的资格。</w:t>
      </w:r>
    </w:p>
    <w:p w14:paraId="55697B3B">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如何参加调剂？</w:t>
      </w:r>
    </w:p>
    <w:p w14:paraId="2CC01BFD">
      <w:pPr>
        <w:pStyle w:val="21"/>
        <w:widowControl w:val="0"/>
        <w:shd w:val="clear" w:color="auto"/>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经资格复审后，通过笔试合格分数线的人数未达到规定面试比例的定向选调职位，须调剂补充人选。</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报考选调职位、</w:t>
      </w:r>
      <w:r>
        <w:rPr>
          <w:rFonts w:hint="default" w:ascii="Times New Roman" w:hAnsi="Times New Roman" w:eastAsia="仿宋_GB2312" w:cs="Times New Roman"/>
          <w:color w:val="000000" w:themeColor="text1"/>
          <w:sz w:val="32"/>
          <w:szCs w:val="32"/>
          <w:u w:val="none"/>
          <w14:textFill>
            <w14:solidFill>
              <w14:schemeClr w14:val="tx1"/>
            </w14:solidFill>
          </w14:textFill>
        </w:rPr>
        <w:t>笔试成绩达到合格分数线，且未进入首批参加面试人选名单的考生可</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登录</w:t>
      </w:r>
      <w:r>
        <w:rPr>
          <w:rFonts w:hint="default" w:ascii="Times New Roman" w:hAnsi="Times New Roman" w:eastAsia="仿宋_GB2312" w:cs="Times New Roman"/>
          <w:color w:val="000000" w:themeColor="text1"/>
          <w:sz w:val="32"/>
          <w:szCs w:val="32"/>
          <w:u w:val="none"/>
          <w14:textFill>
            <w14:solidFill>
              <w14:schemeClr w14:val="tx1"/>
            </w14:solidFill>
          </w14:textFill>
        </w:rPr>
        <w:t>报名系统查询调剂职位，根据职位资格条件进行报名。</w:t>
      </w:r>
    </w:p>
    <w:p w14:paraId="5FBF4407">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如何查询是否进入面试？</w:t>
      </w:r>
    </w:p>
    <w:p w14:paraId="30A9F422">
      <w:pPr>
        <w:pStyle w:val="21"/>
        <w:widowControl w:val="0"/>
        <w:shd w:val="clear" w:color="auto"/>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定向选调和“优培计划”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类职位参加面试的人员名单将在报名系统统一公布。考生可登录查询是否进入面试。</w:t>
      </w:r>
    </w:p>
    <w:p w14:paraId="58642E34">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什么时间进行面试？</w:t>
      </w:r>
    </w:p>
    <w:p w14:paraId="1193FA25">
      <w:pPr>
        <w:pStyle w:val="21"/>
        <w:widowControl w:val="0"/>
        <w:shd w:val="clear" w:color="auto"/>
        <w:spacing w:before="0" w:beforeLines="0" w:beforeAutospacing="0" w:after="0" w:afterLines="0" w:afterAutospacing="0" w:line="560" w:lineRule="exact"/>
        <w:ind w:firstLine="640" w:firstLineChars="200"/>
        <w:jc w:val="both"/>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定向选调和“优培计划”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类职位面试工作将于</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年11月进行。进入定向选调面试人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选</w:t>
      </w:r>
      <w:r>
        <w:rPr>
          <w:rFonts w:hint="default" w:ascii="Times New Roman" w:hAnsi="Times New Roman" w:eastAsia="仿宋_GB2312" w:cs="Times New Roman"/>
          <w:color w:val="000000" w:themeColor="text1"/>
          <w:sz w:val="32"/>
          <w:szCs w:val="32"/>
          <w:u w:val="none"/>
          <w14:textFill>
            <w14:solidFill>
              <w14:schemeClr w14:val="tx1"/>
            </w14:solidFill>
          </w14:textFill>
        </w:rPr>
        <w:t>可于11月中</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上</w:t>
      </w:r>
      <w:r>
        <w:rPr>
          <w:rFonts w:hint="default" w:ascii="Times New Roman" w:hAnsi="Times New Roman" w:eastAsia="仿宋_GB2312" w:cs="Times New Roman"/>
          <w:color w:val="000000" w:themeColor="text1"/>
          <w:sz w:val="32"/>
          <w:szCs w:val="32"/>
          <w:u w:val="none"/>
          <w14:textFill>
            <w14:solidFill>
              <w14:schemeClr w14:val="tx1"/>
            </w14:solidFill>
          </w14:textFill>
        </w:rPr>
        <w:t>旬</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登录</w:t>
      </w:r>
      <w:r>
        <w:rPr>
          <w:rFonts w:hint="default" w:ascii="Times New Roman" w:hAnsi="Times New Roman" w:eastAsia="仿宋_GB2312" w:cs="Times New Roman"/>
          <w:color w:val="000000" w:themeColor="text1"/>
          <w:sz w:val="32"/>
          <w:szCs w:val="32"/>
          <w:u w:val="none"/>
          <w14:textFill>
            <w14:solidFill>
              <w14:schemeClr w14:val="tx1"/>
            </w14:solidFill>
          </w14:textFill>
        </w:rPr>
        <w:t>报名系统查询面试公告，了解面试地点和时间。进入“优培计划”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类招聘面试</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人选</w:t>
      </w:r>
      <w:r>
        <w:rPr>
          <w:rFonts w:hint="default" w:ascii="Times New Roman" w:hAnsi="Times New Roman" w:eastAsia="仿宋_GB2312" w:cs="Times New Roman"/>
          <w:color w:val="000000" w:themeColor="text1"/>
          <w:sz w:val="32"/>
          <w:szCs w:val="32"/>
          <w:u w:val="none"/>
          <w14:textFill>
            <w14:solidFill>
              <w14:schemeClr w14:val="tx1"/>
            </w14:solidFill>
          </w14:textFill>
        </w:rPr>
        <w:t>可于11月下旬</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登录</w:t>
      </w:r>
      <w:r>
        <w:rPr>
          <w:rFonts w:hint="default" w:ascii="Times New Roman" w:hAnsi="Times New Roman" w:eastAsia="仿宋_GB2312" w:cs="Times New Roman"/>
          <w:color w:val="000000" w:themeColor="text1"/>
          <w:sz w:val="32"/>
          <w:szCs w:val="32"/>
          <w:u w:val="none"/>
          <w14:textFill>
            <w14:solidFill>
              <w14:schemeClr w14:val="tx1"/>
            </w14:solidFill>
          </w14:textFill>
        </w:rPr>
        <w:t>各招聘单位网站查询面试公告，了解面试地点、时间、方式和内容等。</w:t>
      </w:r>
    </w:p>
    <w:p w14:paraId="01BF1C22">
      <w:pPr>
        <w:widowControl/>
        <w:numPr>
          <w:ilvl w:val="0"/>
          <w:numId w:val="1"/>
        </w:numPr>
        <w:shd w:val="clear" w:color="auto"/>
        <w:spacing w:before="0" w:beforeLines="0" w:beforeAutospacing="0" w:after="0" w:afterLines="0" w:afterAutospacing="0" w:line="560" w:lineRule="exact"/>
        <w:ind w:firstLine="643" w:firstLineChars="200"/>
        <w:jc w:val="left"/>
        <w:outlineLvl w:val="2"/>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面试采取何种形式开展？</w:t>
      </w:r>
    </w:p>
    <w:p w14:paraId="666B1C4D">
      <w:pPr>
        <w:shd w:val="clear"/>
        <w:spacing w:beforeLines="0" w:afterLines="0" w:line="560" w:lineRule="exact"/>
        <w:ind w:firstLine="640" w:firstLineChars="200"/>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定向选调面试采用半结构化面试的方法，面试考官可根据情况追加提问。“优培计划”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类招聘面试相关要求请查阅招聘单位面试和专业能力测试公告。</w:t>
      </w:r>
    </w:p>
    <w:p w14:paraId="4157C915">
      <w:pPr>
        <w:shd w:val="clear" w:color="auto"/>
        <w:spacing w:beforeLines="0" w:afterLines="0" w:line="560" w:lineRule="exact"/>
        <w:ind w:firstLine="640" w:firstLineChars="200"/>
        <w:outlineLvl w:val="1"/>
        <w:rPr>
          <w:rFonts w:hint="default" w:ascii="Times New Roman" w:hAnsi="Times New Roman"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六、关于体检和考察</w:t>
      </w:r>
    </w:p>
    <w:p w14:paraId="55D831E1">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体检和考察由谁负责？</w:t>
      </w:r>
    </w:p>
    <w:p w14:paraId="437D146F">
      <w:pPr>
        <w:shd w:val="clear" w:color="auto"/>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体检和考察由定向选调和“优培计划”招聘单位负责。</w:t>
      </w:r>
    </w:p>
    <w:p w14:paraId="3294AE47">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体检依据什么标准进行？</w:t>
      </w:r>
    </w:p>
    <w:p w14:paraId="728A8401">
      <w:pPr>
        <w:shd w:val="clear" w:color="auto"/>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定向选调体检工作严格按照公务员录用体检通用标准等有关规定组织实施</w:t>
      </w:r>
      <w:r>
        <w:rPr>
          <w:rFonts w:hint="default" w:ascii="Times New Roman" w:hAnsi="Times New Roman" w:eastAsia="仿宋_GB2312" w:cs="Times New Roman"/>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“优培计划”拟聘用人员体检标准由招聘单位根据单位相关规定组织实施，可参照定向选调体检要求开展。</w:t>
      </w:r>
    </w:p>
    <w:p w14:paraId="25AD8425">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对体检结果有疑义的，如何提出复检申请？</w:t>
      </w:r>
    </w:p>
    <w:p w14:paraId="73DB0593">
      <w:pPr>
        <w:shd w:val="clear" w:color="auto"/>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考生对非当日、非当场复检的体检项目结果有疑问时，可以在接到体检结论通知之日起7日内，向定向选调或“优培计划”招聘单位提交复检申请，选调或招聘单位应尽快安排考生复检。选调或招聘单位对体检结论有疑问的，在接到体检结论通知之日起7日内决定是否进行复检。复检只能进行1次，体检结果以复检结论为准。</w:t>
      </w:r>
    </w:p>
    <w:p w14:paraId="6E0A5C49">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在什么机构进行体检？</w:t>
      </w:r>
    </w:p>
    <w:p w14:paraId="53C3EDEC">
      <w:pPr>
        <w:shd w:val="clear" w:color="auto"/>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定向选调拟录用人员须在指定的北京市体检医疗机构进行体检。“优培计划”招聘单位根据实际需要确定拟聘用人员体检机构。</w:t>
      </w:r>
    </w:p>
    <w:p w14:paraId="28E1746D">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考察主要了解哪些内容？</w:t>
      </w:r>
    </w:p>
    <w:p w14:paraId="59954879">
      <w:pPr>
        <w:shd w:val="clear" w:color="auto"/>
        <w:spacing w:beforeLines="0" w:afterLines="0" w:line="560" w:lineRule="exact"/>
        <w:ind w:firstLine="640" w:firstLineChars="200"/>
        <w:rPr>
          <w:rFonts w:hint="default" w:ascii="Times New Roman" w:hAnsi="Times New Roman"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将按照好干部标准，采取多种形式对考察对象进行深入考察，全面了解考生的政治素质、道德品行、能力素质、心理素质、学习表现、遵纪守法、廉洁自律、职位匹配以及需要回避的情况等，重点了解政治表现和政治倾向，并对档案进行严格审核，重点审核年龄、党龄、学历等内容。</w:t>
      </w:r>
    </w:p>
    <w:p w14:paraId="53AA913C">
      <w:pPr>
        <w:widowControl/>
        <w:numPr>
          <w:ilvl w:val="0"/>
          <w:numId w:val="1"/>
        </w:numPr>
        <w:shd w:val="clear" w:color="auto"/>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考察时需要对报考人员进行资格复审吗？</w:t>
      </w:r>
    </w:p>
    <w:p w14:paraId="11FA1674">
      <w:pPr>
        <w:shd w:val="clear"/>
        <w:spacing w:beforeLines="0" w:afterLines="0" w:line="560" w:lineRule="exact"/>
        <w:ind w:firstLine="640" w:firstLineChars="200"/>
        <w:rPr>
          <w:rStyle w:val="13"/>
          <w:rFonts w:hint="default" w:ascii="Times New Roman" w:hAnsi="Times New Roman" w:eastAsia="楷体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录用考察是对考生资格条件认定核实的关键环节，需要对考生进行资格复审。录用考察阶段资格复审，主要是核实考察对象是否符合规定的报考资格条件，提供的报考信息和相关材料是否与真实经历背景相一致，是否具有报考回避的情形等方面的情况。</w:t>
      </w:r>
    </w:p>
    <w:p w14:paraId="59742838">
      <w:pPr>
        <w:numPr>
          <w:ilvl w:val="0"/>
          <w:numId w:val="1"/>
        </w:numPr>
        <w:shd w:val="clear"/>
        <w:spacing w:beforeLines="0" w:afterLines="0" w:line="560" w:lineRule="exact"/>
        <w:ind w:firstLine="643" w:firstLineChars="200"/>
        <w:rPr>
          <w:rFonts w:hint="default" w:ascii="Times New Roman" w:hAnsi="Times New Roman" w:cs="Times New Roman"/>
          <w:color w:val="000000" w:themeColor="text1"/>
          <w:sz w:val="32"/>
          <w:szCs w:val="32"/>
          <w:u w:val="none"/>
          <w14:textFill>
            <w14:solidFill>
              <w14:schemeClr w14:val="tx1"/>
            </w14:solidFill>
          </w14:textFill>
        </w:rPr>
      </w:pPr>
      <w:r>
        <w:rPr>
          <w:rStyle w:val="13"/>
          <w:rFonts w:hint="default" w:ascii="Times New Roman" w:hAnsi="Times New Roman" w:eastAsia="楷体_GB2312" w:cs="Times New Roman"/>
          <w:color w:val="000000" w:themeColor="text1"/>
          <w:sz w:val="32"/>
          <w:szCs w:val="32"/>
          <w:u w:val="none"/>
          <w14:textFill>
            <w14:solidFill>
              <w14:schemeClr w14:val="tx1"/>
            </w14:solidFill>
          </w14:textFill>
        </w:rPr>
        <w:t>哪些机关实行差额考察？</w:t>
      </w:r>
    </w:p>
    <w:p w14:paraId="55EFF7AE">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市级选调单位可以差额确定考察人选，差额考察人数与计划录用人数的比例一般不高于2:1。区级选调单位和</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乡镇街道基层选调单位实行等额考察。</w:t>
      </w:r>
      <w:r>
        <w:rPr>
          <w:rFonts w:hint="default" w:ascii="Times New Roman" w:hAnsi="Times New Roman" w:eastAsia="仿宋_GB2312" w:cs="Times New Roman"/>
          <w:color w:val="000000" w:themeColor="text1"/>
          <w:sz w:val="32"/>
          <w:szCs w:val="32"/>
          <w:u w:val="none"/>
          <w14:textFill>
            <w14:solidFill>
              <w14:schemeClr w14:val="tx1"/>
            </w14:solidFill>
          </w14:textFill>
        </w:rPr>
        <w:t>招录机关根据</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综合</w:t>
      </w:r>
      <w:r>
        <w:rPr>
          <w:rFonts w:hint="default" w:ascii="Times New Roman" w:hAnsi="Times New Roman" w:eastAsia="仿宋_GB2312" w:cs="Times New Roman"/>
          <w:color w:val="000000" w:themeColor="text1"/>
          <w:sz w:val="32"/>
          <w:szCs w:val="32"/>
          <w:u w:val="none"/>
          <w14:textFill>
            <w14:solidFill>
              <w14:schemeClr w14:val="tx1"/>
            </w14:solidFill>
          </w14:textFill>
        </w:rPr>
        <w:t>成绩、体检结果和考察情况等，按照人岗相适原则择优确定拟录用人员。</w:t>
      </w:r>
      <w:r>
        <w:rPr>
          <w:rFonts w:hint="default" w:ascii="Times New Roman" w:hAnsi="Times New Roman" w:eastAsia="仿宋_GB2312" w:cs="Times New Roman"/>
          <w:i w:val="0"/>
          <w:iCs w:val="0"/>
          <w:caps w:val="0"/>
          <w:color w:val="000000" w:themeColor="text1"/>
          <w:spacing w:val="0"/>
          <w:sz w:val="32"/>
          <w:szCs w:val="32"/>
          <w:u w:val="none"/>
          <w:shd w:val="clear" w:color="auto" w:fill="auto"/>
          <w14:textFill>
            <w14:solidFill>
              <w14:schemeClr w14:val="tx1"/>
            </w14:solidFill>
          </w14:textFill>
        </w:rPr>
        <w:t>考察人选达不到公务员录用标准的，不得录用，如有需要，招录机关可以顺延递补后续考生进行考察。</w:t>
      </w:r>
    </w:p>
    <w:p w14:paraId="5B30E9BB">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七、关于签订三方协议</w:t>
      </w:r>
    </w:p>
    <w:p w14:paraId="759E8922">
      <w:pPr>
        <w:widowControl/>
        <w:numPr>
          <w:ilvl w:val="0"/>
          <w:numId w:val="1"/>
        </w:numPr>
        <w:shd w:val="clear"/>
        <w:spacing w:beforeLines="0" w:afterLines="0" w:line="560" w:lineRule="exact"/>
        <w:ind w:firstLine="643" w:firstLineChars="200"/>
        <w:jc w:val="left"/>
        <w:outlineLvl w:val="2"/>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什么时间与用人单位签订三方协议？</w:t>
      </w:r>
    </w:p>
    <w:p w14:paraId="3E872698">
      <w:pPr>
        <w:shd w:val="clear"/>
        <w:spacing w:beforeLines="0" w:afterLines="0" w:line="560" w:lineRule="exact"/>
        <w:ind w:firstLine="640" w:firstLineChars="200"/>
        <w:rPr>
          <w:rFonts w:hint="default" w:ascii="Times New Roman" w:hAnsi="Times New Roman" w:eastAsia="楷体_GB2312" w:cs="Times New Roman"/>
          <w:b/>
          <w:bCs/>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定向选调和“优培计划”拟录用</w:t>
      </w:r>
      <w:r>
        <w:rPr>
          <w:rFonts w:hint="eastAsia" w:eastAsia="仿宋_GB2312" w:cs="Times New Roman"/>
          <w:color w:val="000000" w:themeColor="text1"/>
          <w:kern w:val="0"/>
          <w:sz w:val="32"/>
          <w:szCs w:val="32"/>
          <w:u w:val="none"/>
          <w:lang w:eastAsia="zh-CN"/>
          <w14:textFill>
            <w14:solidFill>
              <w14:schemeClr w14:val="tx1"/>
            </w14:solidFill>
          </w14:textFill>
        </w:rPr>
        <w:t>人员</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公示期满没有问题的或者反映的问题不影响录用的，应在规定时间内与用人单位签订三方协议。未在规定时间内签订三方协议的，视为放弃录用。</w:t>
      </w:r>
    </w:p>
    <w:p w14:paraId="551CCB96">
      <w:pPr>
        <w:widowControl/>
        <w:numPr>
          <w:ilvl w:val="0"/>
          <w:numId w:val="1"/>
        </w:numPr>
        <w:shd w:val="clear"/>
        <w:spacing w:beforeLines="0" w:afterLines="0" w:line="560" w:lineRule="exact"/>
        <w:ind w:firstLine="643" w:firstLineChars="200"/>
        <w:jc w:val="left"/>
        <w:outlineLvl w:val="2"/>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bCs w:val="0"/>
          <w:color w:val="000000" w:themeColor="text1"/>
          <w:kern w:val="0"/>
          <w:sz w:val="32"/>
          <w:szCs w:val="32"/>
          <w:u w:val="none"/>
          <w14:textFill>
            <w14:solidFill>
              <w14:schemeClr w14:val="tx1"/>
            </w14:solidFill>
          </w14:textFill>
        </w:rPr>
        <w:t>签订三方协议后能否解除？</w:t>
      </w:r>
    </w:p>
    <w:p w14:paraId="101802E7">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考生在签约前应认真考虑、慎重做出决定，签订三方协议后不得解除，用人单位不退还协议；与定向选调、“优培计划”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Ⅰ</w:t>
      </w:r>
      <w:r>
        <w:rPr>
          <w:rFonts w:hint="default" w:ascii="Times New Roman" w:hAnsi="Times New Roman" w:eastAsia="仿宋_GB2312" w:cs="Times New Roman"/>
          <w:color w:val="000000" w:themeColor="text1"/>
          <w:sz w:val="32"/>
          <w:szCs w:val="32"/>
          <w:u w:val="none"/>
          <w14:textFill>
            <w14:solidFill>
              <w14:schemeClr w14:val="tx1"/>
            </w14:solidFill>
          </w14:textFill>
        </w:rPr>
        <w:t>类、</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“优培计划”</w:t>
      </w:r>
      <w:r>
        <w:rPr>
          <w:rFonts w:hint="eastAsia" w:ascii="仿宋_GB2312" w:hAnsi="仿宋_GB2312" w:eastAsia="仿宋_GB2312" w:cs="仿宋_GB2312"/>
          <w:color w:val="000000" w:themeColor="text1"/>
          <w:sz w:val="32"/>
          <w:szCs w:val="32"/>
          <w:u w:val="none"/>
          <w14:textFill>
            <w14:solidFill>
              <w14:schemeClr w14:val="tx1"/>
            </w14:solidFill>
          </w14:textFill>
        </w:rPr>
        <w:t>Ⅱ</w:t>
      </w:r>
      <w:r>
        <w:rPr>
          <w:rFonts w:hint="default" w:ascii="Times New Roman" w:hAnsi="Times New Roman" w:eastAsia="仿宋_GB2312" w:cs="Times New Roman"/>
          <w:color w:val="000000" w:themeColor="text1"/>
          <w:sz w:val="32"/>
          <w:szCs w:val="32"/>
          <w:u w:val="none"/>
          <w14:textFill>
            <w14:solidFill>
              <w14:schemeClr w14:val="tx1"/>
            </w14:solidFill>
          </w14:textFill>
        </w:rPr>
        <w:t>类</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任何一个职位签订三方协议后，其他职位招录招聘程序自动终止。</w:t>
      </w:r>
    </w:p>
    <w:p w14:paraId="1E39BB92">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八、关于违纪违规考生处理</w:t>
      </w:r>
    </w:p>
    <w:p w14:paraId="70ED93A4">
      <w:pPr>
        <w:widowControl/>
        <w:numPr>
          <w:ilvl w:val="0"/>
          <w:numId w:val="1"/>
        </w:numPr>
        <w:shd w:val="clear"/>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哪些行为记入公务员录用考试诚信档案？</w:t>
      </w:r>
    </w:p>
    <w:p w14:paraId="288DCCB6">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考生有违纪违规和其他不诚信行为的，记入公务员录用考试诚信档案库，作为公务员、选调生、“优培计划”</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人员</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录用考察的一项重要依据。</w:t>
      </w:r>
    </w:p>
    <w:p w14:paraId="7E487227">
      <w:pPr>
        <w:widowControl/>
        <w:numPr>
          <w:ilvl w:val="0"/>
          <w:numId w:val="1"/>
        </w:numPr>
        <w:shd w:val="clear"/>
        <w:spacing w:beforeLines="0" w:afterLines="0" w:line="560" w:lineRule="exact"/>
        <w:ind w:firstLine="643" w:firstLineChars="200"/>
        <w:jc w:val="left"/>
        <w:outlineLvl w:val="2"/>
        <w:rPr>
          <w:rFonts w:hint="default" w:ascii="Times New Roman" w:hAnsi="Times New Roman" w:eastAsia="楷体_GB2312" w:cs="Times New Roman"/>
          <w:b/>
          <w:color w:val="000000" w:themeColor="text1"/>
          <w:kern w:val="0"/>
          <w:sz w:val="32"/>
          <w:szCs w:val="32"/>
          <w:u w:val="none"/>
          <w14:textFill>
            <w14:solidFill>
              <w14:schemeClr w14:val="tx1"/>
            </w14:solidFill>
          </w14:textFill>
        </w:rPr>
      </w:pPr>
      <w:r>
        <w:rPr>
          <w:rFonts w:hint="default" w:ascii="Times New Roman" w:hAnsi="Times New Roman" w:eastAsia="楷体_GB2312" w:cs="Times New Roman"/>
          <w:b/>
          <w:color w:val="000000" w:themeColor="text1"/>
          <w:kern w:val="0"/>
          <w:sz w:val="32"/>
          <w:szCs w:val="32"/>
          <w:u w:val="none"/>
          <w14:textFill>
            <w14:solidFill>
              <w14:schemeClr w14:val="tx1"/>
            </w14:solidFill>
          </w14:textFill>
        </w:rPr>
        <w:t>对违纪违规行为，有哪几种处理方式？</w:t>
      </w:r>
    </w:p>
    <w:p w14:paraId="7FB54581">
      <w:pPr>
        <w:shd w:val="clear"/>
        <w:spacing w:beforeLines="0" w:afterLines="0" w:line="560" w:lineRule="exact"/>
        <w:ind w:firstLine="640" w:firstLineChars="200"/>
        <w:rPr>
          <w:rFonts w:hint="default" w:ascii="Times New Roman" w:hAnsi="Times New Roman" w:eastAsia="仿宋_GB2312" w:cs="Times New Roman"/>
          <w:color w:val="000000" w:themeColor="text1"/>
          <w:kern w:val="0"/>
          <w:sz w:val="32"/>
          <w:szCs w:val="32"/>
          <w:u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在本次定向选调和“优培计划”招聘中，考生有违纪违规行为的，按照《公务员考试录用违纪违规行为处理办法》</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《事业单位公开招聘违纪违规行为处理规定》等要求</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，分别给予取消报考（考试）资格、考试成绩无效、不予（取消）录用等相应处理。其中，违纪违规情节严重和特别严重的，由组织</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部门</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进行认定和处理。被认定为严重或特别严重违纪违规的考生，不得确定为拟录用人选，并视情况向考生所在学校进行通报。</w:t>
      </w:r>
    </w:p>
    <w:p w14:paraId="71C3B435">
      <w:pPr>
        <w:numPr>
          <w:ilvl w:val="-1"/>
          <w:numId w:val="0"/>
        </w:numPr>
        <w:shd w:val="clear"/>
        <w:spacing w:before="0" w:beforeLines="0" w:after="0" w:afterLines="0" w:line="560" w:lineRule="exact"/>
        <w:ind w:left="0" w:firstLine="0" w:firstLineChars="0"/>
        <w:jc w:val="center"/>
        <w:outlineLvl w:val="0"/>
        <w:rPr>
          <w:rFonts w:hint="default" w:ascii="Times New Roman" w:hAnsi="Times New Roman" w:eastAsia="黑体" w:cs="Times New Roman"/>
          <w:color w:val="000000" w:themeColor="text1"/>
          <w:kern w:val="0"/>
          <w:sz w:val="36"/>
          <w:szCs w:val="36"/>
          <w:u w:val="none"/>
          <w14:textFill>
            <w14:solidFill>
              <w14:schemeClr w14:val="tx1"/>
            </w14:solidFill>
          </w14:textFill>
        </w:rPr>
      </w:pPr>
    </w:p>
    <w:p w14:paraId="76ED2A7E">
      <w:pPr>
        <w:numPr>
          <w:ilvl w:val="-1"/>
          <w:numId w:val="0"/>
        </w:numPr>
        <w:shd w:val="clear"/>
        <w:spacing w:before="0" w:beforeLines="0" w:after="0" w:afterLines="0" w:line="560" w:lineRule="exact"/>
        <w:ind w:left="0" w:firstLine="0" w:firstLineChars="0"/>
        <w:jc w:val="center"/>
        <w:outlineLvl w:val="0"/>
        <w:rPr>
          <w:rFonts w:hint="default" w:ascii="Times New Roman" w:hAnsi="Times New Roman" w:eastAsia="黑体" w:cs="Times New Roman"/>
          <w:color w:val="000000" w:themeColor="text1"/>
          <w:kern w:val="0"/>
          <w:sz w:val="36"/>
          <w:szCs w:val="36"/>
          <w:u w:val="none"/>
          <w14:textFill>
            <w14:solidFill>
              <w14:schemeClr w14:val="tx1"/>
            </w14:solidFill>
          </w14:textFill>
        </w:rPr>
      </w:pPr>
      <w:r>
        <w:rPr>
          <w:rFonts w:hint="default" w:ascii="Times New Roman" w:hAnsi="Times New Roman" w:eastAsia="黑体" w:cs="Times New Roman"/>
          <w:color w:val="000000" w:themeColor="text1"/>
          <w:kern w:val="0"/>
          <w:sz w:val="36"/>
          <w:szCs w:val="36"/>
          <w:u w:val="none"/>
          <w14:textFill>
            <w14:solidFill>
              <w14:schemeClr w14:val="tx1"/>
            </w14:solidFill>
          </w14:textFill>
        </w:rPr>
        <w:t>第二章</w:t>
      </w:r>
      <w:r>
        <w:rPr>
          <w:rFonts w:hint="default" w:ascii="Times New Roman" w:hAnsi="Times New Roman" w:eastAsia="黑体" w:cs="Times New Roman"/>
          <w:snapToGrid w:val="0"/>
          <w:color w:val="000000" w:themeColor="text1"/>
          <w:kern w:val="0"/>
          <w:sz w:val="36"/>
          <w:szCs w:val="36"/>
          <w:u w:val="none"/>
          <w14:textFill>
            <w14:solidFill>
              <w14:schemeClr w14:val="tx1"/>
            </w14:solidFill>
          </w14:textFill>
        </w:rPr>
        <w:t xml:space="preserve">  </w:t>
      </w:r>
      <w:r>
        <w:rPr>
          <w:rFonts w:hint="default" w:ascii="Times New Roman" w:hAnsi="Times New Roman" w:eastAsia="黑体" w:cs="Times New Roman"/>
          <w:color w:val="000000" w:themeColor="text1"/>
          <w:kern w:val="0"/>
          <w:sz w:val="36"/>
          <w:szCs w:val="36"/>
          <w:u w:val="none"/>
          <w14:textFill>
            <w14:solidFill>
              <w14:schemeClr w14:val="tx1"/>
            </w14:solidFill>
          </w14:textFill>
        </w:rPr>
        <w:t>常见问题解答</w:t>
      </w:r>
    </w:p>
    <w:p w14:paraId="2F732401">
      <w:pPr>
        <w:shd w:val="clear"/>
        <w:spacing w:beforeLines="0" w:afterLines="0" w:line="560" w:lineRule="exact"/>
        <w:ind w:firstLine="640" w:firstLineChars="200"/>
        <w:outlineLvl w:val="1"/>
        <w:rPr>
          <w:rFonts w:hint="default" w:ascii="Times New Roman" w:hAnsi="Times New Roman" w:eastAsia="黑体" w:cs="Times New Roman"/>
          <w:color w:val="000000" w:themeColor="text1"/>
          <w:sz w:val="32"/>
          <w:szCs w:val="32"/>
          <w:u w:val="none"/>
          <w14:textFill>
            <w14:solidFill>
              <w14:schemeClr w14:val="tx1"/>
            </w14:solidFill>
          </w14:textFill>
        </w:rPr>
      </w:pPr>
    </w:p>
    <w:p w14:paraId="2C05DFD8">
      <w:pPr>
        <w:shd w:val="clear"/>
        <w:spacing w:beforeLines="0" w:afterLines="0" w:line="560" w:lineRule="exact"/>
        <w:ind w:firstLine="640" w:firstLineChars="200"/>
        <w:outlineLvl w:val="1"/>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一、忘记登录密码怎么办？</w:t>
      </w:r>
    </w:p>
    <w:p w14:paraId="772C7694">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点击“忘记密码”链接，可使用注册时的手机号码进行密码重置，使用重置密码登录系统。</w:t>
      </w:r>
    </w:p>
    <w:p w14:paraId="00705FB5">
      <w:pPr>
        <w:shd w:val="clear"/>
        <w:snapToGrid w:val="0"/>
        <w:spacing w:beforeLines="0" w:afterLines="0" w:line="560" w:lineRule="exact"/>
        <w:ind w:firstLine="640" w:firstLineChars="200"/>
        <w:outlineLvl w:val="1"/>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二、</w:t>
      </w:r>
      <w:r>
        <w:rPr>
          <w:rFonts w:hint="default" w:ascii="Times New Roman" w:hAnsi="Times New Roman" w:eastAsia="黑体" w:cs="Times New Roman"/>
          <w:color w:val="000000" w:themeColor="text1"/>
          <w:sz w:val="32"/>
          <w:szCs w:val="32"/>
          <w:u w:val="none"/>
          <w:lang w:eastAsia="zh-CN"/>
          <w14:textFill>
            <w14:solidFill>
              <w14:schemeClr w14:val="tx1"/>
            </w14:solidFill>
          </w14:textFill>
        </w:rPr>
        <w:t>报考职位</w:t>
      </w:r>
      <w:r>
        <w:rPr>
          <w:rFonts w:hint="default" w:ascii="Times New Roman" w:hAnsi="Times New Roman" w:eastAsia="黑体" w:cs="Times New Roman"/>
          <w:color w:val="000000" w:themeColor="text1"/>
          <w:sz w:val="32"/>
          <w:szCs w:val="32"/>
          <w:u w:val="none"/>
          <w14:textFill>
            <w14:solidFill>
              <w14:schemeClr w14:val="tx1"/>
            </w14:solidFill>
          </w14:textFill>
        </w:rPr>
        <w:t>有误怎么办？</w:t>
      </w:r>
    </w:p>
    <w:p w14:paraId="10D07A14">
      <w:pPr>
        <w:shd w:val="clear"/>
        <w:snapToGrid w:val="0"/>
        <w:spacing w:beforeLines="0" w:afterLines="0" w:line="560" w:lineRule="exact"/>
        <w:ind w:firstLine="640" w:firstLineChars="200"/>
        <w:outlineLvl w:val="9"/>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1.提交职位申请之前可自行修改。</w:t>
      </w:r>
    </w:p>
    <w:p w14:paraId="667268BC">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2.职位申请</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已提交，</w:t>
      </w:r>
      <w:r>
        <w:rPr>
          <w:rFonts w:hint="default" w:ascii="Times New Roman" w:hAnsi="Times New Roman" w:eastAsia="仿宋_GB2312" w:cs="Times New Roman"/>
          <w:color w:val="000000" w:themeColor="text1"/>
          <w:sz w:val="32"/>
          <w:szCs w:val="32"/>
          <w:u w:val="none"/>
          <w14:textFill>
            <w14:solidFill>
              <w14:schemeClr w14:val="tx1"/>
            </w14:solidFill>
          </w14:textFill>
        </w:rPr>
        <w:t>均未进行审核（须联系单位将其职位申请做退回处理后）或均未审核通过的，可自行修改。</w:t>
      </w:r>
    </w:p>
    <w:p w14:paraId="76090ED0">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3.提交职位申请中审核通过的</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，职位</w:t>
      </w:r>
      <w:r>
        <w:rPr>
          <w:rFonts w:hint="default" w:ascii="Times New Roman" w:hAnsi="Times New Roman" w:eastAsia="仿宋_GB2312" w:cs="Times New Roman"/>
          <w:color w:val="000000" w:themeColor="text1"/>
          <w:sz w:val="32"/>
          <w:szCs w:val="32"/>
          <w:u w:val="none"/>
          <w14:textFill>
            <w14:solidFill>
              <w14:schemeClr w14:val="tx1"/>
            </w14:solidFill>
          </w14:textFill>
        </w:rPr>
        <w:t>信息无法修改</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报考人员</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如需修改个人</w:t>
      </w:r>
      <w:r>
        <w:rPr>
          <w:rFonts w:hint="default" w:ascii="Times New Roman" w:hAnsi="Times New Roman" w:eastAsia="仿宋_GB2312" w:cs="Times New Roman"/>
          <w:color w:val="000000" w:themeColor="text1"/>
          <w:sz w:val="32"/>
          <w:szCs w:val="32"/>
          <w:u w:val="none"/>
          <w14:textFill>
            <w14:solidFill>
              <w14:schemeClr w14:val="tx1"/>
            </w14:solidFill>
          </w14:textFill>
        </w:rPr>
        <w:t>信息</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，须</w:t>
      </w:r>
      <w:r>
        <w:rPr>
          <w:rFonts w:hint="default" w:ascii="Times New Roman" w:hAnsi="Times New Roman" w:eastAsia="仿宋_GB2312" w:cs="Times New Roman"/>
          <w:color w:val="000000" w:themeColor="text1"/>
          <w:sz w:val="32"/>
          <w:szCs w:val="32"/>
          <w:u w:val="none"/>
          <w14:textFill>
            <w14:solidFill>
              <w14:schemeClr w14:val="tx1"/>
            </w14:solidFill>
          </w14:textFill>
        </w:rPr>
        <w:t>告知已通过审核职位的所在单位。</w:t>
      </w:r>
    </w:p>
    <w:p w14:paraId="6394808D">
      <w:pPr>
        <w:shd w:val="clear"/>
        <w:snapToGrid w:val="0"/>
        <w:spacing w:beforeLines="0" w:afterLines="0" w:line="560" w:lineRule="exact"/>
        <w:ind w:firstLine="640" w:firstLineChars="200"/>
        <w:rPr>
          <w:rFonts w:hint="default" w:ascii="Times New Roman" w:hAnsi="Times New Roman" w:eastAsia="仿宋_GB2312" w:cs="Times New Roman"/>
          <w:color w:val="000000" w:themeColor="text1"/>
          <w:sz w:val="32"/>
          <w:szCs w:val="32"/>
          <w:u w:val="none"/>
          <w:lang w:val="en-US"/>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14:textFill>
            <w14:solidFill>
              <w14:schemeClr w14:val="tx1"/>
            </w14:solidFill>
          </w14:textFill>
        </w:rPr>
        <w:t>4.提交职位申请中审核未通过的，可将</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符合该职位要求的</w:t>
      </w:r>
      <w:r>
        <w:rPr>
          <w:rFonts w:hint="default" w:ascii="Times New Roman" w:hAnsi="Times New Roman" w:eastAsia="仿宋_GB2312" w:cs="Times New Roman"/>
          <w:color w:val="000000" w:themeColor="text1"/>
          <w:sz w:val="32"/>
          <w:szCs w:val="32"/>
          <w:u w:val="none"/>
          <w:lang w:val="en-US"/>
          <w14:textFill>
            <w14:solidFill>
              <w14:schemeClr w14:val="tx1"/>
            </w14:solidFill>
          </w14:textFill>
        </w:rPr>
        <w:t>信息修改内容填录到补充说明中，再重新提交。</w:t>
      </w:r>
    </w:p>
    <w:p w14:paraId="5EBF7913">
      <w:pPr>
        <w:shd w:val="clear"/>
        <w:snapToGrid w:val="0"/>
        <w:spacing w:beforeLines="0" w:afterLines="0" w:line="560" w:lineRule="exact"/>
        <w:ind w:firstLine="640" w:firstLineChars="200"/>
        <w:outlineLvl w:val="9"/>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lang w:val="en-US"/>
          <w14:textFill>
            <w14:solidFill>
              <w14:schemeClr w14:val="tx1"/>
            </w14:solidFill>
          </w14:textFill>
        </w:rPr>
        <w:t>5</w:t>
      </w:r>
      <w:r>
        <w:rPr>
          <w:rFonts w:hint="default" w:ascii="Times New Roman" w:hAnsi="Times New Roman" w:eastAsia="仿宋_GB2312" w:cs="Times New Roman"/>
          <w:color w:val="000000" w:themeColor="text1"/>
          <w:sz w:val="32"/>
          <w:szCs w:val="32"/>
          <w:u w:val="none"/>
          <w14:textFill>
            <w14:solidFill>
              <w14:schemeClr w14:val="tx1"/>
            </w14:solidFill>
          </w14:textFill>
        </w:rPr>
        <w:t>.报名时间结束后，报考人员</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职位</w:t>
      </w:r>
      <w:r>
        <w:rPr>
          <w:rFonts w:hint="default" w:ascii="Times New Roman" w:hAnsi="Times New Roman" w:eastAsia="仿宋_GB2312" w:cs="Times New Roman"/>
          <w:color w:val="000000" w:themeColor="text1"/>
          <w:sz w:val="32"/>
          <w:szCs w:val="32"/>
          <w:u w:val="none"/>
          <w14:textFill>
            <w14:solidFill>
              <w14:schemeClr w14:val="tx1"/>
            </w14:solidFill>
          </w14:textFill>
        </w:rPr>
        <w:t>信息无法修改。</w:t>
      </w:r>
    </w:p>
    <w:p w14:paraId="24010DB2">
      <w:pPr>
        <w:shd w:val="clear"/>
        <w:snapToGrid w:val="0"/>
        <w:spacing w:beforeLines="0" w:afterLines="0" w:line="560" w:lineRule="exact"/>
        <w:ind w:firstLine="640" w:firstLineChars="200"/>
        <w:outlineLvl w:val="1"/>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三、如何查询所申报职位的报考人数？</w:t>
      </w:r>
    </w:p>
    <w:p w14:paraId="2F9C7E4A">
      <w:pPr>
        <w:shd w:val="clear"/>
        <w:snapToGrid w:val="0"/>
        <w:spacing w:beforeLines="0" w:afterLines="0" w:line="560" w:lineRule="exact"/>
        <w:ind w:firstLine="640" w:firstLineChars="200"/>
        <w:outlineLvl w:val="9"/>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报名期间</w:t>
      </w:r>
      <w:r>
        <w:rPr>
          <w:rFonts w:hint="default" w:ascii="Times New Roman" w:hAnsi="Times New Roman" w:eastAsia="仿宋_GB2312" w:cs="Times New Roman"/>
          <w:color w:val="000000" w:themeColor="text1"/>
          <w:sz w:val="32"/>
          <w:szCs w:val="32"/>
          <w:u w:val="none"/>
          <w:lang w:val="en"/>
          <w14:textFill>
            <w14:solidFill>
              <w14:schemeClr w14:val="tx1"/>
            </w14:solidFill>
          </w14:textFill>
        </w:rPr>
        <w:t>登录</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报名系统</w:t>
      </w:r>
      <w:r>
        <w:rPr>
          <w:rFonts w:hint="default" w:ascii="Times New Roman" w:hAnsi="Times New Roman" w:eastAsia="仿宋_GB2312" w:cs="Times New Roman"/>
          <w:color w:val="000000" w:themeColor="text1"/>
          <w:sz w:val="32"/>
          <w:szCs w:val="32"/>
          <w:u w:val="none"/>
          <w14:textFill>
            <w14:solidFill>
              <w14:schemeClr w14:val="tx1"/>
            </w14:solidFill>
          </w14:textFill>
        </w:rPr>
        <w:t>，选择“各职位报考人数查询”，输入职位代码后，即可查询所申报职位的报考人数。申报职位的报考人数更新时间为报名期间每天9:00和18:00（</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u w:val="none"/>
          <w14:textFill>
            <w14:solidFill>
              <w14:schemeClr w14:val="tx1"/>
            </w14:solidFill>
          </w14:textFill>
        </w:rPr>
        <w:t>年9月2</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u w:val="none"/>
          <w14:textFill>
            <w14:solidFill>
              <w14:schemeClr w14:val="tx1"/>
            </w14:solidFill>
          </w14:textFill>
        </w:rPr>
        <w:t>日只更新一次，更新时间为9:00）。</w:t>
      </w:r>
    </w:p>
    <w:p w14:paraId="20F27F99">
      <w:pPr>
        <w:shd w:val="clear"/>
        <w:spacing w:beforeLines="0" w:afterLines="0" w:line="560" w:lineRule="exact"/>
        <w:ind w:firstLine="640" w:firstLineChars="200"/>
        <w:outlineLvl w:val="1"/>
        <w:rPr>
          <w:rFonts w:hint="default" w:ascii="Times New Roman" w:hAnsi="Times New Roman" w:eastAsia="黑体" w:cs="Times New Roman"/>
          <w:color w:val="000000" w:themeColor="text1"/>
          <w:kern w:val="0"/>
          <w:sz w:val="32"/>
          <w:szCs w:val="32"/>
          <w:u w:val="none"/>
          <w14:textFill>
            <w14:solidFill>
              <w14:schemeClr w14:val="tx1"/>
            </w14:solidFill>
          </w14:textFill>
        </w:rPr>
      </w:pPr>
      <w:r>
        <w:rPr>
          <w:rFonts w:hint="default" w:ascii="Times New Roman" w:hAnsi="Times New Roman" w:eastAsia="黑体" w:cs="Times New Roman"/>
          <w:color w:val="000000" w:themeColor="text1"/>
          <w:kern w:val="0"/>
          <w:sz w:val="32"/>
          <w:szCs w:val="32"/>
          <w:u w:val="none"/>
          <w14:textFill>
            <w14:solidFill>
              <w14:schemeClr w14:val="tx1"/>
            </w14:solidFill>
          </w14:textFill>
        </w:rPr>
        <w:t>四、本次考试是否收取费用？</w:t>
      </w:r>
    </w:p>
    <w:p w14:paraId="3AC196A0">
      <w:pPr>
        <w:shd w:val="clear"/>
        <w:snapToGrid w:val="0"/>
        <w:spacing w:beforeLines="0" w:afterLines="0" w:line="560" w:lineRule="exact"/>
        <w:ind w:firstLine="640" w:firstLineChars="200"/>
        <w:rPr>
          <w:rFonts w:hint="default" w:ascii="Times New Roman" w:hAnsi="Times New Roman" w:eastAsia="黑体"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shd w:val="clear" w:color="auto" w:fill="FFFFFF"/>
          <w14:textFill>
            <w14:solidFill>
              <w14:schemeClr w14:val="tx1"/>
            </w14:solidFill>
          </w14:textFill>
        </w:rPr>
        <w:t>本次考试不收取任何费用。本次考试</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从未指定任何单位和个人编写过有关教材，也不委托任何单位和个人举办有关考试的培训班。本次考试不指定考试辅导用书，不举办也不委托任何机构举办考试辅导培训班。</w:t>
      </w:r>
      <w:r>
        <w:rPr>
          <w:rFonts w:hint="default" w:ascii="Times New Roman" w:hAnsi="Times New Roman" w:eastAsia="仿宋_GB2312" w:cs="Times New Roman"/>
          <w:color w:val="000000" w:themeColor="text1"/>
          <w:sz w:val="32"/>
          <w:szCs w:val="32"/>
          <w:u w:val="none"/>
          <w14:textFill>
            <w14:solidFill>
              <w14:schemeClr w14:val="tx1"/>
            </w14:solidFill>
          </w14:textFill>
        </w:rPr>
        <w:t>目前社会上出现的有关定向选调和“优培计划”招聘考试辅导班、辅导网站或发行的出版物等，均与本次考试无关。</w:t>
      </w:r>
    </w:p>
    <w:p w14:paraId="2B32F68C">
      <w:pPr>
        <w:shd w:val="clear"/>
        <w:snapToGrid w:val="0"/>
        <w:spacing w:beforeLines="0" w:afterLines="0" w:line="560" w:lineRule="exact"/>
        <w:ind w:firstLine="640" w:firstLineChars="200"/>
        <w:rPr>
          <w:rFonts w:hint="default" w:ascii="Times New Roman" w:hAnsi="Times New Roman" w:eastAsia="仿宋" w:cs="Times New Roman"/>
          <w:color w:val="000000" w:themeColor="text1"/>
          <w:sz w:val="32"/>
          <w:szCs w:val="32"/>
          <w:u w:val="none"/>
          <w14:textFill>
            <w14:solidFill>
              <w14:schemeClr w14:val="tx1"/>
            </w14:solidFill>
          </w14:textFill>
        </w:rPr>
      </w:pPr>
      <w:r>
        <w:rPr>
          <w:rFonts w:hint="default" w:ascii="Times New Roman" w:hAnsi="Times New Roman" w:eastAsia="黑体" w:cs="Times New Roman"/>
          <w:color w:val="000000" w:themeColor="text1"/>
          <w:sz w:val="32"/>
          <w:szCs w:val="32"/>
          <w:u w:val="none"/>
          <w14:textFill>
            <w14:solidFill>
              <w14:schemeClr w14:val="tx1"/>
            </w14:solidFill>
          </w14:textFill>
        </w:rPr>
        <w:t>《选调简章》《招聘简章》中公布的各选调和招聘单位联系电话在招考期间如发生变化，将及时在报名系统予以公布，请考生及时关注。</w:t>
      </w:r>
    </w:p>
    <w:sectPr>
      <w:footerReference r:id="rId3"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D3855D-1D50-4799-B9C1-F8FECF2F5A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4FB0FDB9-673C-4778-AD2A-9ABB35E560A9}"/>
  </w:font>
  <w:font w:name="方正小标宋简体">
    <w:altName w:val="方正舒体"/>
    <w:panose1 w:val="02010601030101010101"/>
    <w:charset w:val="86"/>
    <w:family w:val="auto"/>
    <w:pitch w:val="default"/>
    <w:sig w:usb0="00000000" w:usb1="00000000" w:usb2="00000000" w:usb3="00000000" w:csb0="00040000" w:csb1="00000000"/>
    <w:embedRegular r:id="rId3" w:fontKey="{83361294-C41E-475E-B143-DF113C053816}"/>
  </w:font>
  <w:font w:name="楷体_GB2312">
    <w:panose1 w:val="02010609030101010101"/>
    <w:charset w:val="86"/>
    <w:family w:val="auto"/>
    <w:pitch w:val="default"/>
    <w:sig w:usb0="00000001" w:usb1="080E0000" w:usb2="00000000" w:usb3="00000000" w:csb0="00040000" w:csb1="00000000"/>
    <w:embedRegular r:id="rId4" w:fontKey="{706A2D47-4C0B-42DB-B323-D90266F9180B}"/>
  </w:font>
  <w:font w:name="仿宋">
    <w:panose1 w:val="02010609060101010101"/>
    <w:charset w:val="86"/>
    <w:family w:val="modern"/>
    <w:pitch w:val="default"/>
    <w:sig w:usb0="800002BF" w:usb1="38CF7CFA" w:usb2="00000016" w:usb3="00000000" w:csb0="00040001" w:csb1="00000000"/>
    <w:embedRegular r:id="rId5" w:fontKey="{4DCFE498-50DC-4D3D-9C0C-03BD73495F95}"/>
  </w:font>
  <w:font w:name="方正舒体">
    <w:panose1 w:val="02010601030101010101"/>
    <w:charset w:val="86"/>
    <w:family w:val="auto"/>
    <w:pitch w:val="default"/>
    <w:sig w:usb0="00000003" w:usb1="080E0000" w:usb2="00000000" w:usb3="00000000" w:csb0="00040000" w:csb1="00000000"/>
  </w:font>
  <w:font w:name="WPSEMBED33">
    <w:panose1 w:val="02010609030101010101"/>
    <w:charset w:val="86"/>
    <w:family w:val="auto"/>
    <w:pitch w:val="default"/>
    <w:sig w:usb0="00000001" w:usb1="080E0000" w:usb2="00000000" w:usb3="00000000" w:csb0="00040000" w:csb1="00000000"/>
  </w:font>
  <w:font w:name="WPSEMBED3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8A8B1">
    <w:pPr>
      <w:pStyle w:val="6"/>
      <w:jc w:val="center"/>
    </w:pPr>
    <w:r>
      <w:fldChar w:fldCharType="begin"/>
    </w:r>
    <w:r>
      <w:instrText xml:space="preserve">PAGE   \* MERGEFORMAT</w:instrText>
    </w:r>
    <w:r>
      <w:fldChar w:fldCharType="separate"/>
    </w:r>
    <w:r>
      <w:rPr>
        <w:lang w:val="zh-CN"/>
      </w:rPr>
      <w:t>12</w:t>
    </w:r>
    <w:r>
      <w:fldChar w:fldCharType="end"/>
    </w:r>
  </w:p>
  <w:p w14:paraId="5A35242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F8EC1"/>
    <w:multiLevelType w:val="multilevel"/>
    <w:tmpl w:val="B7CF8EC1"/>
    <w:lvl w:ilvl="0" w:tentative="0">
      <w:start w:val="1"/>
      <w:numFmt w:val="decimal"/>
      <w:suff w:val="nothing"/>
      <w:lvlText w:val="%1．"/>
      <w:lvlJc w:val="left"/>
      <w:pPr>
        <w:tabs>
          <w:tab w:val="left" w:pos="0"/>
        </w:tabs>
        <w:ind w:left="0" w:firstLine="40"/>
      </w:pPr>
      <w:rPr>
        <w:rFonts w:hint="default" w:ascii="Times New Roman" w:hAnsi="Times New Roman" w:eastAsia="宋体" w:cs="Times New Roman"/>
        <w:b/>
        <w:bCs w:val="0"/>
      </w:rPr>
    </w:lvl>
    <w:lvl w:ilvl="1" w:tentative="0">
      <w:start w:val="1"/>
      <w:numFmt w:val="decimal"/>
      <w:lvlText w:val="(%2)"/>
      <w:lvlJc w:val="left"/>
      <w:pPr>
        <w:tabs>
          <w:tab w:val="left" w:pos="840"/>
        </w:tabs>
        <w:ind w:left="1240" w:hanging="420"/>
      </w:pPr>
      <w:rPr>
        <w:rFonts w:hint="default"/>
      </w:rPr>
    </w:lvl>
    <w:lvl w:ilvl="2" w:tentative="0">
      <w:start w:val="1"/>
      <w:numFmt w:val="decimalEnclosedCircleChinese"/>
      <w:lvlText w:val="%3"/>
      <w:lvlJc w:val="left"/>
      <w:pPr>
        <w:tabs>
          <w:tab w:val="left" w:pos="1260"/>
        </w:tabs>
        <w:ind w:left="1660" w:hanging="420"/>
      </w:pPr>
      <w:rPr>
        <w:rFonts w:hint="default"/>
      </w:rPr>
    </w:lvl>
    <w:lvl w:ilvl="3" w:tentative="0">
      <w:start w:val="1"/>
      <w:numFmt w:val="decimal"/>
      <w:lvlText w:val="%4)"/>
      <w:lvlJc w:val="left"/>
      <w:pPr>
        <w:tabs>
          <w:tab w:val="left" w:pos="1680"/>
        </w:tabs>
        <w:ind w:left="2080" w:hanging="420"/>
      </w:pPr>
      <w:rPr>
        <w:rFonts w:hint="default"/>
      </w:rPr>
    </w:lvl>
    <w:lvl w:ilvl="4" w:tentative="0">
      <w:start w:val="1"/>
      <w:numFmt w:val="lowerLetter"/>
      <w:lvlText w:val="%5."/>
      <w:lvlJc w:val="left"/>
      <w:pPr>
        <w:tabs>
          <w:tab w:val="left" w:pos="2100"/>
        </w:tabs>
        <w:ind w:left="2500" w:hanging="420"/>
      </w:pPr>
      <w:rPr>
        <w:rFonts w:hint="default"/>
      </w:rPr>
    </w:lvl>
    <w:lvl w:ilvl="5" w:tentative="0">
      <w:start w:val="1"/>
      <w:numFmt w:val="lowerLetter"/>
      <w:lvlText w:val="%6)"/>
      <w:lvlJc w:val="left"/>
      <w:pPr>
        <w:tabs>
          <w:tab w:val="left" w:pos="2520"/>
        </w:tabs>
        <w:ind w:left="2920" w:hanging="420"/>
      </w:pPr>
      <w:rPr>
        <w:rFonts w:hint="default"/>
      </w:rPr>
    </w:lvl>
    <w:lvl w:ilvl="6" w:tentative="0">
      <w:start w:val="1"/>
      <w:numFmt w:val="lowerRoman"/>
      <w:lvlText w:val="%7."/>
      <w:lvlJc w:val="left"/>
      <w:pPr>
        <w:tabs>
          <w:tab w:val="left" w:pos="2940"/>
        </w:tabs>
        <w:ind w:left="3340" w:hanging="420"/>
      </w:pPr>
      <w:rPr>
        <w:rFonts w:hint="default"/>
      </w:rPr>
    </w:lvl>
    <w:lvl w:ilvl="7" w:tentative="0">
      <w:start w:val="1"/>
      <w:numFmt w:val="lowerRoman"/>
      <w:lvlText w:val="%8)"/>
      <w:lvlJc w:val="left"/>
      <w:pPr>
        <w:tabs>
          <w:tab w:val="left" w:pos="3360"/>
        </w:tabs>
        <w:ind w:left="3760" w:hanging="420"/>
      </w:pPr>
      <w:rPr>
        <w:rFonts w:hint="default"/>
      </w:rPr>
    </w:lvl>
    <w:lvl w:ilvl="8" w:tentative="0">
      <w:start w:val="1"/>
      <w:numFmt w:val="lowerLetter"/>
      <w:lvlText w:val="%9."/>
      <w:lvlJc w:val="left"/>
      <w:pPr>
        <w:tabs>
          <w:tab w:val="left" w:pos="3780"/>
        </w:tabs>
        <w:ind w:left="41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4M2Q3MjgyNjMyODM0ZTFlZWYzNDkyYWYzOWUwNjcifQ=="/>
  </w:docVars>
  <w:rsids>
    <w:rsidRoot w:val="00F828D0"/>
    <w:rsid w:val="00002C8A"/>
    <w:rsid w:val="000103F5"/>
    <w:rsid w:val="0001117D"/>
    <w:rsid w:val="0001144D"/>
    <w:rsid w:val="00021588"/>
    <w:rsid w:val="00021630"/>
    <w:rsid w:val="00021E2D"/>
    <w:rsid w:val="00024207"/>
    <w:rsid w:val="00025D99"/>
    <w:rsid w:val="00030912"/>
    <w:rsid w:val="0003122F"/>
    <w:rsid w:val="00035CE4"/>
    <w:rsid w:val="0004666C"/>
    <w:rsid w:val="00050B08"/>
    <w:rsid w:val="00052A8E"/>
    <w:rsid w:val="000573B8"/>
    <w:rsid w:val="00063B0E"/>
    <w:rsid w:val="000643D0"/>
    <w:rsid w:val="000751E7"/>
    <w:rsid w:val="00077756"/>
    <w:rsid w:val="00083E7B"/>
    <w:rsid w:val="00084EA2"/>
    <w:rsid w:val="000851DD"/>
    <w:rsid w:val="000900EC"/>
    <w:rsid w:val="00090F96"/>
    <w:rsid w:val="000962D5"/>
    <w:rsid w:val="000A2CC8"/>
    <w:rsid w:val="000A6447"/>
    <w:rsid w:val="000A6ECC"/>
    <w:rsid w:val="000B16EC"/>
    <w:rsid w:val="000B4C03"/>
    <w:rsid w:val="000B7F43"/>
    <w:rsid w:val="000C279A"/>
    <w:rsid w:val="000C2D28"/>
    <w:rsid w:val="000C390F"/>
    <w:rsid w:val="000C4D3E"/>
    <w:rsid w:val="000C5842"/>
    <w:rsid w:val="000C787B"/>
    <w:rsid w:val="000D128B"/>
    <w:rsid w:val="000D169A"/>
    <w:rsid w:val="000D43E5"/>
    <w:rsid w:val="000D624D"/>
    <w:rsid w:val="000E6A71"/>
    <w:rsid w:val="000F189F"/>
    <w:rsid w:val="000F56C8"/>
    <w:rsid w:val="000F7A05"/>
    <w:rsid w:val="00103D3D"/>
    <w:rsid w:val="00106AFA"/>
    <w:rsid w:val="00107255"/>
    <w:rsid w:val="0011472B"/>
    <w:rsid w:val="00117B65"/>
    <w:rsid w:val="00120469"/>
    <w:rsid w:val="0012275B"/>
    <w:rsid w:val="00123A98"/>
    <w:rsid w:val="00123D9B"/>
    <w:rsid w:val="001272EF"/>
    <w:rsid w:val="00134463"/>
    <w:rsid w:val="00141C6C"/>
    <w:rsid w:val="0014318C"/>
    <w:rsid w:val="00143562"/>
    <w:rsid w:val="0014398A"/>
    <w:rsid w:val="00147D05"/>
    <w:rsid w:val="00151D3C"/>
    <w:rsid w:val="00152F1B"/>
    <w:rsid w:val="00152F29"/>
    <w:rsid w:val="001547EB"/>
    <w:rsid w:val="001558E8"/>
    <w:rsid w:val="0015637C"/>
    <w:rsid w:val="0015655B"/>
    <w:rsid w:val="0016610B"/>
    <w:rsid w:val="001702D7"/>
    <w:rsid w:val="001767C4"/>
    <w:rsid w:val="00176A90"/>
    <w:rsid w:val="0018212D"/>
    <w:rsid w:val="00185A75"/>
    <w:rsid w:val="00185B3B"/>
    <w:rsid w:val="00186DD9"/>
    <w:rsid w:val="001878D5"/>
    <w:rsid w:val="00192284"/>
    <w:rsid w:val="00193573"/>
    <w:rsid w:val="00194A42"/>
    <w:rsid w:val="001A6F81"/>
    <w:rsid w:val="001B0746"/>
    <w:rsid w:val="001B0F32"/>
    <w:rsid w:val="001B18BB"/>
    <w:rsid w:val="001C78DC"/>
    <w:rsid w:val="001D38EC"/>
    <w:rsid w:val="001E2F60"/>
    <w:rsid w:val="001E6039"/>
    <w:rsid w:val="001F0246"/>
    <w:rsid w:val="001F2645"/>
    <w:rsid w:val="001F3045"/>
    <w:rsid w:val="001F5206"/>
    <w:rsid w:val="001F761A"/>
    <w:rsid w:val="00200BF8"/>
    <w:rsid w:val="00200E34"/>
    <w:rsid w:val="00202871"/>
    <w:rsid w:val="00203E24"/>
    <w:rsid w:val="00207179"/>
    <w:rsid w:val="00210CA6"/>
    <w:rsid w:val="0021443C"/>
    <w:rsid w:val="00216E92"/>
    <w:rsid w:val="00224F41"/>
    <w:rsid w:val="0022556F"/>
    <w:rsid w:val="00231EC0"/>
    <w:rsid w:val="00235DE4"/>
    <w:rsid w:val="002370C4"/>
    <w:rsid w:val="002373F2"/>
    <w:rsid w:val="00243EFE"/>
    <w:rsid w:val="0025489F"/>
    <w:rsid w:val="002569F4"/>
    <w:rsid w:val="00262556"/>
    <w:rsid w:val="00262918"/>
    <w:rsid w:val="00266876"/>
    <w:rsid w:val="00267716"/>
    <w:rsid w:val="002709CA"/>
    <w:rsid w:val="0027488D"/>
    <w:rsid w:val="002763C7"/>
    <w:rsid w:val="00287D1B"/>
    <w:rsid w:val="00290E9A"/>
    <w:rsid w:val="0029453B"/>
    <w:rsid w:val="002A41A6"/>
    <w:rsid w:val="002C0C4C"/>
    <w:rsid w:val="002C1A18"/>
    <w:rsid w:val="002C2573"/>
    <w:rsid w:val="002C570B"/>
    <w:rsid w:val="002C5EFE"/>
    <w:rsid w:val="002C6270"/>
    <w:rsid w:val="002D0F4B"/>
    <w:rsid w:val="002D1786"/>
    <w:rsid w:val="002D3225"/>
    <w:rsid w:val="002D3BA2"/>
    <w:rsid w:val="002E115B"/>
    <w:rsid w:val="002E5571"/>
    <w:rsid w:val="002F0E67"/>
    <w:rsid w:val="002F1122"/>
    <w:rsid w:val="002F3345"/>
    <w:rsid w:val="002F33C5"/>
    <w:rsid w:val="002F4B72"/>
    <w:rsid w:val="002F55D6"/>
    <w:rsid w:val="00303674"/>
    <w:rsid w:val="00304B10"/>
    <w:rsid w:val="00305B7E"/>
    <w:rsid w:val="00306F7D"/>
    <w:rsid w:val="003112E2"/>
    <w:rsid w:val="00315583"/>
    <w:rsid w:val="00321789"/>
    <w:rsid w:val="003263EC"/>
    <w:rsid w:val="0033699C"/>
    <w:rsid w:val="00336D2B"/>
    <w:rsid w:val="003412B1"/>
    <w:rsid w:val="0034535D"/>
    <w:rsid w:val="00345CF2"/>
    <w:rsid w:val="00360672"/>
    <w:rsid w:val="00364955"/>
    <w:rsid w:val="00374752"/>
    <w:rsid w:val="003814E2"/>
    <w:rsid w:val="00381E7A"/>
    <w:rsid w:val="00384D02"/>
    <w:rsid w:val="003863FD"/>
    <w:rsid w:val="00387E6E"/>
    <w:rsid w:val="00390172"/>
    <w:rsid w:val="00397E7E"/>
    <w:rsid w:val="003A3299"/>
    <w:rsid w:val="003A55EF"/>
    <w:rsid w:val="003B1383"/>
    <w:rsid w:val="003B139B"/>
    <w:rsid w:val="003B211F"/>
    <w:rsid w:val="003B2D2B"/>
    <w:rsid w:val="003B3A6D"/>
    <w:rsid w:val="003C1278"/>
    <w:rsid w:val="003C1E91"/>
    <w:rsid w:val="003C295B"/>
    <w:rsid w:val="003C42B4"/>
    <w:rsid w:val="003C6157"/>
    <w:rsid w:val="003D0324"/>
    <w:rsid w:val="003D5A44"/>
    <w:rsid w:val="003E2371"/>
    <w:rsid w:val="003E5FC1"/>
    <w:rsid w:val="003F049C"/>
    <w:rsid w:val="003F0604"/>
    <w:rsid w:val="003F5327"/>
    <w:rsid w:val="003F7737"/>
    <w:rsid w:val="0040238C"/>
    <w:rsid w:val="00402695"/>
    <w:rsid w:val="00407770"/>
    <w:rsid w:val="00411F9F"/>
    <w:rsid w:val="00412589"/>
    <w:rsid w:val="004154FE"/>
    <w:rsid w:val="00425E9D"/>
    <w:rsid w:val="00427076"/>
    <w:rsid w:val="0043105E"/>
    <w:rsid w:val="00433AB0"/>
    <w:rsid w:val="00434461"/>
    <w:rsid w:val="00446B8C"/>
    <w:rsid w:val="00446C45"/>
    <w:rsid w:val="0046150C"/>
    <w:rsid w:val="00461796"/>
    <w:rsid w:val="0046257A"/>
    <w:rsid w:val="00463C11"/>
    <w:rsid w:val="0046733B"/>
    <w:rsid w:val="004707B8"/>
    <w:rsid w:val="004801F6"/>
    <w:rsid w:val="00482310"/>
    <w:rsid w:val="00483E6B"/>
    <w:rsid w:val="0048473A"/>
    <w:rsid w:val="0048580F"/>
    <w:rsid w:val="00486EAF"/>
    <w:rsid w:val="004902C9"/>
    <w:rsid w:val="004A1A0C"/>
    <w:rsid w:val="004A2D4E"/>
    <w:rsid w:val="004A318F"/>
    <w:rsid w:val="004B0D7B"/>
    <w:rsid w:val="004B539E"/>
    <w:rsid w:val="004B5682"/>
    <w:rsid w:val="004C11E2"/>
    <w:rsid w:val="004C51D0"/>
    <w:rsid w:val="004C7FAC"/>
    <w:rsid w:val="004D021D"/>
    <w:rsid w:val="004D205B"/>
    <w:rsid w:val="004D3976"/>
    <w:rsid w:val="004D6CE6"/>
    <w:rsid w:val="004D78CA"/>
    <w:rsid w:val="004E1205"/>
    <w:rsid w:val="004E3D55"/>
    <w:rsid w:val="004E5852"/>
    <w:rsid w:val="004F075D"/>
    <w:rsid w:val="004F2EF9"/>
    <w:rsid w:val="004F6361"/>
    <w:rsid w:val="00500A6A"/>
    <w:rsid w:val="005010E5"/>
    <w:rsid w:val="005019F2"/>
    <w:rsid w:val="00505275"/>
    <w:rsid w:val="00510314"/>
    <w:rsid w:val="00512BAC"/>
    <w:rsid w:val="00513DA5"/>
    <w:rsid w:val="005158D2"/>
    <w:rsid w:val="00530988"/>
    <w:rsid w:val="00531690"/>
    <w:rsid w:val="00533207"/>
    <w:rsid w:val="00533CF5"/>
    <w:rsid w:val="0053489D"/>
    <w:rsid w:val="005402DD"/>
    <w:rsid w:val="00540CD7"/>
    <w:rsid w:val="0054699A"/>
    <w:rsid w:val="005527EB"/>
    <w:rsid w:val="00555D28"/>
    <w:rsid w:val="00556230"/>
    <w:rsid w:val="005607C2"/>
    <w:rsid w:val="005659EC"/>
    <w:rsid w:val="005664AB"/>
    <w:rsid w:val="0056669F"/>
    <w:rsid w:val="0057097A"/>
    <w:rsid w:val="0057601C"/>
    <w:rsid w:val="00576080"/>
    <w:rsid w:val="0058734B"/>
    <w:rsid w:val="00590193"/>
    <w:rsid w:val="00590318"/>
    <w:rsid w:val="00592216"/>
    <w:rsid w:val="00592B51"/>
    <w:rsid w:val="005A71A1"/>
    <w:rsid w:val="005A7C1A"/>
    <w:rsid w:val="005B4DDB"/>
    <w:rsid w:val="005B5277"/>
    <w:rsid w:val="005B77FF"/>
    <w:rsid w:val="005C1BAF"/>
    <w:rsid w:val="005C3DA0"/>
    <w:rsid w:val="005C3DF5"/>
    <w:rsid w:val="005C4BCD"/>
    <w:rsid w:val="005D3320"/>
    <w:rsid w:val="005D3674"/>
    <w:rsid w:val="005D416E"/>
    <w:rsid w:val="005D4BAE"/>
    <w:rsid w:val="005D54D0"/>
    <w:rsid w:val="005D6161"/>
    <w:rsid w:val="005D7196"/>
    <w:rsid w:val="005E24A2"/>
    <w:rsid w:val="005E6C3A"/>
    <w:rsid w:val="005F0B2E"/>
    <w:rsid w:val="005F18D9"/>
    <w:rsid w:val="005F28EF"/>
    <w:rsid w:val="005F687D"/>
    <w:rsid w:val="005F6C30"/>
    <w:rsid w:val="00610602"/>
    <w:rsid w:val="00610C69"/>
    <w:rsid w:val="0061128D"/>
    <w:rsid w:val="006116D0"/>
    <w:rsid w:val="00612653"/>
    <w:rsid w:val="00612A80"/>
    <w:rsid w:val="00615E21"/>
    <w:rsid w:val="0061616A"/>
    <w:rsid w:val="00617C6B"/>
    <w:rsid w:val="00621B29"/>
    <w:rsid w:val="0062463A"/>
    <w:rsid w:val="00624654"/>
    <w:rsid w:val="00625BC1"/>
    <w:rsid w:val="00626849"/>
    <w:rsid w:val="006302EA"/>
    <w:rsid w:val="00631B78"/>
    <w:rsid w:val="0064012E"/>
    <w:rsid w:val="00641EC5"/>
    <w:rsid w:val="006420D5"/>
    <w:rsid w:val="00645B7F"/>
    <w:rsid w:val="00652AB1"/>
    <w:rsid w:val="0065544D"/>
    <w:rsid w:val="00655A9C"/>
    <w:rsid w:val="0066070E"/>
    <w:rsid w:val="0066083C"/>
    <w:rsid w:val="00672029"/>
    <w:rsid w:val="00673E84"/>
    <w:rsid w:val="00681626"/>
    <w:rsid w:val="00690FE2"/>
    <w:rsid w:val="006916FF"/>
    <w:rsid w:val="006945CE"/>
    <w:rsid w:val="00697D12"/>
    <w:rsid w:val="006A01AA"/>
    <w:rsid w:val="006A0412"/>
    <w:rsid w:val="006B1901"/>
    <w:rsid w:val="006B2131"/>
    <w:rsid w:val="006B3508"/>
    <w:rsid w:val="006B59B0"/>
    <w:rsid w:val="006C3717"/>
    <w:rsid w:val="006C3957"/>
    <w:rsid w:val="006C3D45"/>
    <w:rsid w:val="006C4DFA"/>
    <w:rsid w:val="006D1440"/>
    <w:rsid w:val="006D42E5"/>
    <w:rsid w:val="006D6A42"/>
    <w:rsid w:val="006D7343"/>
    <w:rsid w:val="006D73D3"/>
    <w:rsid w:val="006E0B9D"/>
    <w:rsid w:val="006E103E"/>
    <w:rsid w:val="006E2088"/>
    <w:rsid w:val="006E3A89"/>
    <w:rsid w:val="006E7FB5"/>
    <w:rsid w:val="006F5A39"/>
    <w:rsid w:val="007035AD"/>
    <w:rsid w:val="00705965"/>
    <w:rsid w:val="007068EA"/>
    <w:rsid w:val="00710916"/>
    <w:rsid w:val="007137E9"/>
    <w:rsid w:val="00714CBB"/>
    <w:rsid w:val="00722A38"/>
    <w:rsid w:val="00725E0E"/>
    <w:rsid w:val="00726034"/>
    <w:rsid w:val="007307F5"/>
    <w:rsid w:val="00742A4B"/>
    <w:rsid w:val="00744421"/>
    <w:rsid w:val="007444CD"/>
    <w:rsid w:val="00753E91"/>
    <w:rsid w:val="00765267"/>
    <w:rsid w:val="007668F8"/>
    <w:rsid w:val="00770B96"/>
    <w:rsid w:val="00772567"/>
    <w:rsid w:val="0077454A"/>
    <w:rsid w:val="0077718D"/>
    <w:rsid w:val="00781F0E"/>
    <w:rsid w:val="00782E78"/>
    <w:rsid w:val="007862EA"/>
    <w:rsid w:val="00791AB7"/>
    <w:rsid w:val="007932A9"/>
    <w:rsid w:val="007B066B"/>
    <w:rsid w:val="007B6D2A"/>
    <w:rsid w:val="007B714E"/>
    <w:rsid w:val="007C0524"/>
    <w:rsid w:val="007C0980"/>
    <w:rsid w:val="007C23A0"/>
    <w:rsid w:val="007C3BEA"/>
    <w:rsid w:val="007C7126"/>
    <w:rsid w:val="007D3A1B"/>
    <w:rsid w:val="007D61A7"/>
    <w:rsid w:val="007D6419"/>
    <w:rsid w:val="007D7511"/>
    <w:rsid w:val="007E3D87"/>
    <w:rsid w:val="007E62D6"/>
    <w:rsid w:val="007F1FB1"/>
    <w:rsid w:val="007F305E"/>
    <w:rsid w:val="007F7B59"/>
    <w:rsid w:val="00800982"/>
    <w:rsid w:val="00801208"/>
    <w:rsid w:val="00803BFA"/>
    <w:rsid w:val="00806280"/>
    <w:rsid w:val="00810873"/>
    <w:rsid w:val="00815C6E"/>
    <w:rsid w:val="00817ED6"/>
    <w:rsid w:val="00820E7A"/>
    <w:rsid w:val="00820EB9"/>
    <w:rsid w:val="008223DC"/>
    <w:rsid w:val="00825D1E"/>
    <w:rsid w:val="00833545"/>
    <w:rsid w:val="008340E7"/>
    <w:rsid w:val="00834F2B"/>
    <w:rsid w:val="0084085B"/>
    <w:rsid w:val="00840CFB"/>
    <w:rsid w:val="008429B2"/>
    <w:rsid w:val="008441FD"/>
    <w:rsid w:val="008448FF"/>
    <w:rsid w:val="00844C4F"/>
    <w:rsid w:val="008474C6"/>
    <w:rsid w:val="00847D0E"/>
    <w:rsid w:val="00850583"/>
    <w:rsid w:val="00862C95"/>
    <w:rsid w:val="00870E7E"/>
    <w:rsid w:val="00873596"/>
    <w:rsid w:val="0087633D"/>
    <w:rsid w:val="008809CF"/>
    <w:rsid w:val="008865C0"/>
    <w:rsid w:val="0088674F"/>
    <w:rsid w:val="00890C7D"/>
    <w:rsid w:val="00895512"/>
    <w:rsid w:val="008A13A5"/>
    <w:rsid w:val="008A3F56"/>
    <w:rsid w:val="008A70F2"/>
    <w:rsid w:val="008B3E79"/>
    <w:rsid w:val="008B411B"/>
    <w:rsid w:val="008B5902"/>
    <w:rsid w:val="008C4ADC"/>
    <w:rsid w:val="008C58A7"/>
    <w:rsid w:val="008D11C4"/>
    <w:rsid w:val="008D135E"/>
    <w:rsid w:val="008D477E"/>
    <w:rsid w:val="008E25EA"/>
    <w:rsid w:val="008E55FD"/>
    <w:rsid w:val="008E6E19"/>
    <w:rsid w:val="008E70FE"/>
    <w:rsid w:val="008E7422"/>
    <w:rsid w:val="008E7DED"/>
    <w:rsid w:val="0090250C"/>
    <w:rsid w:val="00903435"/>
    <w:rsid w:val="00904665"/>
    <w:rsid w:val="009046BD"/>
    <w:rsid w:val="00907E0B"/>
    <w:rsid w:val="00912823"/>
    <w:rsid w:val="009206DB"/>
    <w:rsid w:val="00927377"/>
    <w:rsid w:val="00934009"/>
    <w:rsid w:val="009344A8"/>
    <w:rsid w:val="00935EA5"/>
    <w:rsid w:val="00940ED6"/>
    <w:rsid w:val="00951DE4"/>
    <w:rsid w:val="00951F7D"/>
    <w:rsid w:val="00964F67"/>
    <w:rsid w:val="00966C38"/>
    <w:rsid w:val="00971FB7"/>
    <w:rsid w:val="009875C0"/>
    <w:rsid w:val="00990DE6"/>
    <w:rsid w:val="009923B9"/>
    <w:rsid w:val="009943E3"/>
    <w:rsid w:val="009B0CFE"/>
    <w:rsid w:val="009B20DF"/>
    <w:rsid w:val="009B4E99"/>
    <w:rsid w:val="009B7D5B"/>
    <w:rsid w:val="009C0791"/>
    <w:rsid w:val="009C1B76"/>
    <w:rsid w:val="009C245F"/>
    <w:rsid w:val="009C75E3"/>
    <w:rsid w:val="009D364D"/>
    <w:rsid w:val="009D5290"/>
    <w:rsid w:val="009E7E84"/>
    <w:rsid w:val="00A00F5C"/>
    <w:rsid w:val="00A02063"/>
    <w:rsid w:val="00A11C7C"/>
    <w:rsid w:val="00A12843"/>
    <w:rsid w:val="00A13043"/>
    <w:rsid w:val="00A13918"/>
    <w:rsid w:val="00A14EE3"/>
    <w:rsid w:val="00A157FD"/>
    <w:rsid w:val="00A203F9"/>
    <w:rsid w:val="00A214C0"/>
    <w:rsid w:val="00A219EB"/>
    <w:rsid w:val="00A21B25"/>
    <w:rsid w:val="00A21E61"/>
    <w:rsid w:val="00A3202D"/>
    <w:rsid w:val="00A4006C"/>
    <w:rsid w:val="00A41B87"/>
    <w:rsid w:val="00A448D5"/>
    <w:rsid w:val="00A52D75"/>
    <w:rsid w:val="00A5751A"/>
    <w:rsid w:val="00A607E4"/>
    <w:rsid w:val="00A611AF"/>
    <w:rsid w:val="00A616F6"/>
    <w:rsid w:val="00A6576B"/>
    <w:rsid w:val="00A66582"/>
    <w:rsid w:val="00A72237"/>
    <w:rsid w:val="00A72D87"/>
    <w:rsid w:val="00A75940"/>
    <w:rsid w:val="00A8153D"/>
    <w:rsid w:val="00A83299"/>
    <w:rsid w:val="00A854BB"/>
    <w:rsid w:val="00A87364"/>
    <w:rsid w:val="00A91E98"/>
    <w:rsid w:val="00A930DF"/>
    <w:rsid w:val="00A9447D"/>
    <w:rsid w:val="00AA6CE2"/>
    <w:rsid w:val="00AA753F"/>
    <w:rsid w:val="00AB32DF"/>
    <w:rsid w:val="00AB3641"/>
    <w:rsid w:val="00AB3F0C"/>
    <w:rsid w:val="00AB4BED"/>
    <w:rsid w:val="00AB7F6C"/>
    <w:rsid w:val="00AC08A4"/>
    <w:rsid w:val="00AC24B2"/>
    <w:rsid w:val="00AC2CAB"/>
    <w:rsid w:val="00AD000D"/>
    <w:rsid w:val="00AD15E0"/>
    <w:rsid w:val="00AD4C0C"/>
    <w:rsid w:val="00AE212B"/>
    <w:rsid w:val="00AE3324"/>
    <w:rsid w:val="00AE55CD"/>
    <w:rsid w:val="00AE622A"/>
    <w:rsid w:val="00AF3B3C"/>
    <w:rsid w:val="00AF5608"/>
    <w:rsid w:val="00B005B0"/>
    <w:rsid w:val="00B005DE"/>
    <w:rsid w:val="00B064CC"/>
    <w:rsid w:val="00B073CE"/>
    <w:rsid w:val="00B11484"/>
    <w:rsid w:val="00B12518"/>
    <w:rsid w:val="00B132D4"/>
    <w:rsid w:val="00B1383E"/>
    <w:rsid w:val="00B16DFC"/>
    <w:rsid w:val="00B20DF6"/>
    <w:rsid w:val="00B30253"/>
    <w:rsid w:val="00B33B42"/>
    <w:rsid w:val="00B342D5"/>
    <w:rsid w:val="00B348B2"/>
    <w:rsid w:val="00B428DD"/>
    <w:rsid w:val="00B4362D"/>
    <w:rsid w:val="00B47B8E"/>
    <w:rsid w:val="00B5337A"/>
    <w:rsid w:val="00B539A2"/>
    <w:rsid w:val="00B63233"/>
    <w:rsid w:val="00B73720"/>
    <w:rsid w:val="00B747FA"/>
    <w:rsid w:val="00B75FC1"/>
    <w:rsid w:val="00B7673E"/>
    <w:rsid w:val="00B85B9D"/>
    <w:rsid w:val="00B86DC0"/>
    <w:rsid w:val="00B968DD"/>
    <w:rsid w:val="00BB196A"/>
    <w:rsid w:val="00BB2CE4"/>
    <w:rsid w:val="00BB35A4"/>
    <w:rsid w:val="00BB48A4"/>
    <w:rsid w:val="00BB4C06"/>
    <w:rsid w:val="00BC069A"/>
    <w:rsid w:val="00BC19ED"/>
    <w:rsid w:val="00BC6347"/>
    <w:rsid w:val="00BD245B"/>
    <w:rsid w:val="00BD5C75"/>
    <w:rsid w:val="00BD6ADE"/>
    <w:rsid w:val="00BD79D4"/>
    <w:rsid w:val="00BE31DD"/>
    <w:rsid w:val="00BE49FB"/>
    <w:rsid w:val="00BE7E99"/>
    <w:rsid w:val="00BF0808"/>
    <w:rsid w:val="00BF699A"/>
    <w:rsid w:val="00BF7E45"/>
    <w:rsid w:val="00C01A18"/>
    <w:rsid w:val="00C04909"/>
    <w:rsid w:val="00C062AD"/>
    <w:rsid w:val="00C103DF"/>
    <w:rsid w:val="00C10774"/>
    <w:rsid w:val="00C152E6"/>
    <w:rsid w:val="00C16914"/>
    <w:rsid w:val="00C220A7"/>
    <w:rsid w:val="00C27BC2"/>
    <w:rsid w:val="00C308EE"/>
    <w:rsid w:val="00C379E0"/>
    <w:rsid w:val="00C42751"/>
    <w:rsid w:val="00C44CC5"/>
    <w:rsid w:val="00C46489"/>
    <w:rsid w:val="00C51997"/>
    <w:rsid w:val="00C52E14"/>
    <w:rsid w:val="00C577E4"/>
    <w:rsid w:val="00C70587"/>
    <w:rsid w:val="00C70927"/>
    <w:rsid w:val="00C713A1"/>
    <w:rsid w:val="00C74D7E"/>
    <w:rsid w:val="00C75AEE"/>
    <w:rsid w:val="00C76AFA"/>
    <w:rsid w:val="00C7701F"/>
    <w:rsid w:val="00C87F37"/>
    <w:rsid w:val="00C91222"/>
    <w:rsid w:val="00C91795"/>
    <w:rsid w:val="00C91A1A"/>
    <w:rsid w:val="00C926F3"/>
    <w:rsid w:val="00C92DB6"/>
    <w:rsid w:val="00CA033A"/>
    <w:rsid w:val="00CA18E2"/>
    <w:rsid w:val="00CA2D4F"/>
    <w:rsid w:val="00CA3A01"/>
    <w:rsid w:val="00CA5EED"/>
    <w:rsid w:val="00CC021E"/>
    <w:rsid w:val="00CD2BB6"/>
    <w:rsid w:val="00CD3DB1"/>
    <w:rsid w:val="00CE2959"/>
    <w:rsid w:val="00CE68E7"/>
    <w:rsid w:val="00CE6E0D"/>
    <w:rsid w:val="00CE7648"/>
    <w:rsid w:val="00CE77B5"/>
    <w:rsid w:val="00CE7B35"/>
    <w:rsid w:val="00CF0F2E"/>
    <w:rsid w:val="00CF1FE8"/>
    <w:rsid w:val="00CF443A"/>
    <w:rsid w:val="00CF564D"/>
    <w:rsid w:val="00D02E04"/>
    <w:rsid w:val="00D077BA"/>
    <w:rsid w:val="00D11B7A"/>
    <w:rsid w:val="00D1332B"/>
    <w:rsid w:val="00D16C99"/>
    <w:rsid w:val="00D21468"/>
    <w:rsid w:val="00D218E5"/>
    <w:rsid w:val="00D22234"/>
    <w:rsid w:val="00D25582"/>
    <w:rsid w:val="00D31DBE"/>
    <w:rsid w:val="00D31E9E"/>
    <w:rsid w:val="00D3290D"/>
    <w:rsid w:val="00D33B7B"/>
    <w:rsid w:val="00D36C16"/>
    <w:rsid w:val="00D36C25"/>
    <w:rsid w:val="00D41131"/>
    <w:rsid w:val="00D4610B"/>
    <w:rsid w:val="00D46D98"/>
    <w:rsid w:val="00D540DD"/>
    <w:rsid w:val="00D543E0"/>
    <w:rsid w:val="00D54FDA"/>
    <w:rsid w:val="00D57F99"/>
    <w:rsid w:val="00D611E6"/>
    <w:rsid w:val="00D64FA1"/>
    <w:rsid w:val="00D667B5"/>
    <w:rsid w:val="00D707F4"/>
    <w:rsid w:val="00D73516"/>
    <w:rsid w:val="00D753EA"/>
    <w:rsid w:val="00D7556C"/>
    <w:rsid w:val="00D81415"/>
    <w:rsid w:val="00D8397B"/>
    <w:rsid w:val="00D87885"/>
    <w:rsid w:val="00D87BCB"/>
    <w:rsid w:val="00D93334"/>
    <w:rsid w:val="00D93561"/>
    <w:rsid w:val="00D945ED"/>
    <w:rsid w:val="00D951A2"/>
    <w:rsid w:val="00DA0301"/>
    <w:rsid w:val="00DA4787"/>
    <w:rsid w:val="00DB29F2"/>
    <w:rsid w:val="00DB4A02"/>
    <w:rsid w:val="00DC042E"/>
    <w:rsid w:val="00DC1710"/>
    <w:rsid w:val="00DC4B10"/>
    <w:rsid w:val="00DC67EB"/>
    <w:rsid w:val="00DD4EEE"/>
    <w:rsid w:val="00DD52DE"/>
    <w:rsid w:val="00DD57B4"/>
    <w:rsid w:val="00DE6B06"/>
    <w:rsid w:val="00DE73DA"/>
    <w:rsid w:val="00DE743F"/>
    <w:rsid w:val="00DF7458"/>
    <w:rsid w:val="00E06F9C"/>
    <w:rsid w:val="00E154A5"/>
    <w:rsid w:val="00E22F57"/>
    <w:rsid w:val="00E30055"/>
    <w:rsid w:val="00E33378"/>
    <w:rsid w:val="00E3433A"/>
    <w:rsid w:val="00E34F2B"/>
    <w:rsid w:val="00E367A1"/>
    <w:rsid w:val="00E42C69"/>
    <w:rsid w:val="00E433D5"/>
    <w:rsid w:val="00E51766"/>
    <w:rsid w:val="00E541EF"/>
    <w:rsid w:val="00E559D8"/>
    <w:rsid w:val="00E55BED"/>
    <w:rsid w:val="00E614C7"/>
    <w:rsid w:val="00E63B57"/>
    <w:rsid w:val="00E658F9"/>
    <w:rsid w:val="00E66E5A"/>
    <w:rsid w:val="00E71340"/>
    <w:rsid w:val="00E76A95"/>
    <w:rsid w:val="00E82A1E"/>
    <w:rsid w:val="00E845A3"/>
    <w:rsid w:val="00E85389"/>
    <w:rsid w:val="00E863B8"/>
    <w:rsid w:val="00E867EE"/>
    <w:rsid w:val="00E87371"/>
    <w:rsid w:val="00E8788F"/>
    <w:rsid w:val="00E90F95"/>
    <w:rsid w:val="00E91907"/>
    <w:rsid w:val="00EA0CC0"/>
    <w:rsid w:val="00EA5BE2"/>
    <w:rsid w:val="00EB0C32"/>
    <w:rsid w:val="00EB33D9"/>
    <w:rsid w:val="00EB3997"/>
    <w:rsid w:val="00EB6A5E"/>
    <w:rsid w:val="00EB7A80"/>
    <w:rsid w:val="00ED4286"/>
    <w:rsid w:val="00ED5609"/>
    <w:rsid w:val="00ED6259"/>
    <w:rsid w:val="00ED6BD1"/>
    <w:rsid w:val="00ED7CED"/>
    <w:rsid w:val="00EE0EF6"/>
    <w:rsid w:val="00EE1511"/>
    <w:rsid w:val="00EF07D3"/>
    <w:rsid w:val="00EF22D3"/>
    <w:rsid w:val="00EF382E"/>
    <w:rsid w:val="00EF503A"/>
    <w:rsid w:val="00F00FBD"/>
    <w:rsid w:val="00F03E9D"/>
    <w:rsid w:val="00F055BE"/>
    <w:rsid w:val="00F069C1"/>
    <w:rsid w:val="00F07574"/>
    <w:rsid w:val="00F13E38"/>
    <w:rsid w:val="00F14802"/>
    <w:rsid w:val="00F17674"/>
    <w:rsid w:val="00F2250E"/>
    <w:rsid w:val="00F33042"/>
    <w:rsid w:val="00F35B35"/>
    <w:rsid w:val="00F37447"/>
    <w:rsid w:val="00F37FE8"/>
    <w:rsid w:val="00F427DC"/>
    <w:rsid w:val="00F43A39"/>
    <w:rsid w:val="00F55DD5"/>
    <w:rsid w:val="00F60BF8"/>
    <w:rsid w:val="00F712FC"/>
    <w:rsid w:val="00F828D0"/>
    <w:rsid w:val="00F82A6B"/>
    <w:rsid w:val="00F865EE"/>
    <w:rsid w:val="00F87B80"/>
    <w:rsid w:val="00F90411"/>
    <w:rsid w:val="00FA40CC"/>
    <w:rsid w:val="00FB03DF"/>
    <w:rsid w:val="00FB071A"/>
    <w:rsid w:val="00FB0A4A"/>
    <w:rsid w:val="00FC125F"/>
    <w:rsid w:val="00FC24B6"/>
    <w:rsid w:val="00FC2D53"/>
    <w:rsid w:val="00FC6948"/>
    <w:rsid w:val="00FD07E1"/>
    <w:rsid w:val="00FD0889"/>
    <w:rsid w:val="00FD1284"/>
    <w:rsid w:val="00FD263D"/>
    <w:rsid w:val="00FD3BC1"/>
    <w:rsid w:val="00FD6491"/>
    <w:rsid w:val="00FE022D"/>
    <w:rsid w:val="00FE0239"/>
    <w:rsid w:val="00FE31AD"/>
    <w:rsid w:val="00FE5986"/>
    <w:rsid w:val="00FE62E7"/>
    <w:rsid w:val="00FF06CC"/>
    <w:rsid w:val="00FF1E28"/>
    <w:rsid w:val="00FF27D2"/>
    <w:rsid w:val="00FF7E45"/>
    <w:rsid w:val="04C1774A"/>
    <w:rsid w:val="060043AE"/>
    <w:rsid w:val="0B0D6B6A"/>
    <w:rsid w:val="0C1E2A0F"/>
    <w:rsid w:val="0D4D6A67"/>
    <w:rsid w:val="0E924011"/>
    <w:rsid w:val="100515B9"/>
    <w:rsid w:val="1197116A"/>
    <w:rsid w:val="16524615"/>
    <w:rsid w:val="17D35071"/>
    <w:rsid w:val="19354898"/>
    <w:rsid w:val="199BCA4F"/>
    <w:rsid w:val="1BB43819"/>
    <w:rsid w:val="1D473A61"/>
    <w:rsid w:val="1DD51824"/>
    <w:rsid w:val="1DE32193"/>
    <w:rsid w:val="1E8C79E5"/>
    <w:rsid w:val="1FFB8CD0"/>
    <w:rsid w:val="227930C6"/>
    <w:rsid w:val="227A61C6"/>
    <w:rsid w:val="228E2F4D"/>
    <w:rsid w:val="23BA76CC"/>
    <w:rsid w:val="2695F567"/>
    <w:rsid w:val="27CD6925"/>
    <w:rsid w:val="2A063BA0"/>
    <w:rsid w:val="2A4C56D3"/>
    <w:rsid w:val="2A9EB34E"/>
    <w:rsid w:val="2CBF250D"/>
    <w:rsid w:val="2D126665"/>
    <w:rsid w:val="2DCA6ECC"/>
    <w:rsid w:val="2DDE4BEB"/>
    <w:rsid w:val="2E9372BE"/>
    <w:rsid w:val="2EC90F31"/>
    <w:rsid w:val="2FEE428D"/>
    <w:rsid w:val="2FF5ADE1"/>
    <w:rsid w:val="2FFA266B"/>
    <w:rsid w:val="2FFEF7E3"/>
    <w:rsid w:val="317515C7"/>
    <w:rsid w:val="32F80037"/>
    <w:rsid w:val="35EEBCE8"/>
    <w:rsid w:val="376F1244"/>
    <w:rsid w:val="37B9FC7C"/>
    <w:rsid w:val="37FE3D4B"/>
    <w:rsid w:val="38767B2C"/>
    <w:rsid w:val="387A137C"/>
    <w:rsid w:val="39DD292D"/>
    <w:rsid w:val="39FD74D4"/>
    <w:rsid w:val="3B4DED7B"/>
    <w:rsid w:val="3B5B58B7"/>
    <w:rsid w:val="3C4C37DF"/>
    <w:rsid w:val="3F1FAEA7"/>
    <w:rsid w:val="3F5F2384"/>
    <w:rsid w:val="3FFBFF63"/>
    <w:rsid w:val="41CD6DB8"/>
    <w:rsid w:val="42F30C47"/>
    <w:rsid w:val="4389078C"/>
    <w:rsid w:val="45B5376D"/>
    <w:rsid w:val="466C3163"/>
    <w:rsid w:val="46FF6C75"/>
    <w:rsid w:val="48547666"/>
    <w:rsid w:val="4B9A1CEA"/>
    <w:rsid w:val="4BED5E07"/>
    <w:rsid w:val="4C261319"/>
    <w:rsid w:val="4D5C3245"/>
    <w:rsid w:val="4EEC684A"/>
    <w:rsid w:val="52EF1EBA"/>
    <w:rsid w:val="54F61BDD"/>
    <w:rsid w:val="571406EC"/>
    <w:rsid w:val="58D46299"/>
    <w:rsid w:val="5A9FD5F0"/>
    <w:rsid w:val="5CFB4AF0"/>
    <w:rsid w:val="5D8F1A43"/>
    <w:rsid w:val="5EEFEF6A"/>
    <w:rsid w:val="5EFF1EBB"/>
    <w:rsid w:val="5F1D7F08"/>
    <w:rsid w:val="5FF70387"/>
    <w:rsid w:val="638F5593"/>
    <w:rsid w:val="653A1F3B"/>
    <w:rsid w:val="66614C1D"/>
    <w:rsid w:val="66667E36"/>
    <w:rsid w:val="66F1382F"/>
    <w:rsid w:val="67274411"/>
    <w:rsid w:val="67D5211A"/>
    <w:rsid w:val="69B30C9A"/>
    <w:rsid w:val="69F3658F"/>
    <w:rsid w:val="69F5D928"/>
    <w:rsid w:val="6BB34FB6"/>
    <w:rsid w:val="6BEFE112"/>
    <w:rsid w:val="6D2D7665"/>
    <w:rsid w:val="6E963C85"/>
    <w:rsid w:val="6E9B5AA9"/>
    <w:rsid w:val="6EB71D7D"/>
    <w:rsid w:val="6F347726"/>
    <w:rsid w:val="6FDDF619"/>
    <w:rsid w:val="6FED9A96"/>
    <w:rsid w:val="6FEF30A6"/>
    <w:rsid w:val="6FFFF091"/>
    <w:rsid w:val="72574F47"/>
    <w:rsid w:val="72DA68C7"/>
    <w:rsid w:val="7367654B"/>
    <w:rsid w:val="747FFBE0"/>
    <w:rsid w:val="75532394"/>
    <w:rsid w:val="75FFB3D4"/>
    <w:rsid w:val="76EED2A0"/>
    <w:rsid w:val="76FE9B6C"/>
    <w:rsid w:val="77512E3F"/>
    <w:rsid w:val="77EF3CD8"/>
    <w:rsid w:val="77FAD4D7"/>
    <w:rsid w:val="78FF09DB"/>
    <w:rsid w:val="7B7BE836"/>
    <w:rsid w:val="7B7F9F5C"/>
    <w:rsid w:val="7BF5BEC1"/>
    <w:rsid w:val="7BFD6E91"/>
    <w:rsid w:val="7C4F2043"/>
    <w:rsid w:val="7CAFD25D"/>
    <w:rsid w:val="7D6541E1"/>
    <w:rsid w:val="7D824AC3"/>
    <w:rsid w:val="7E171A5F"/>
    <w:rsid w:val="7E764E0E"/>
    <w:rsid w:val="7EBF250C"/>
    <w:rsid w:val="7EFDDCFD"/>
    <w:rsid w:val="7EFFEA19"/>
    <w:rsid w:val="7FFEB29A"/>
    <w:rsid w:val="8E9F3925"/>
    <w:rsid w:val="8F2D5D89"/>
    <w:rsid w:val="9B776915"/>
    <w:rsid w:val="9BED6734"/>
    <w:rsid w:val="9E79B6AF"/>
    <w:rsid w:val="9FF51FB7"/>
    <w:rsid w:val="AFFFF7D2"/>
    <w:rsid w:val="B3DF479F"/>
    <w:rsid w:val="B7BF86EC"/>
    <w:rsid w:val="B7FB4791"/>
    <w:rsid w:val="BBFD9108"/>
    <w:rsid w:val="BDFB6BC5"/>
    <w:rsid w:val="BF85C376"/>
    <w:rsid w:val="BF8BA4BC"/>
    <w:rsid w:val="BFCF21CA"/>
    <w:rsid w:val="BFF9A41C"/>
    <w:rsid w:val="CDA716A4"/>
    <w:rsid w:val="CE8D891C"/>
    <w:rsid w:val="CF5AA8FE"/>
    <w:rsid w:val="CFCAFC53"/>
    <w:rsid w:val="D45E20CB"/>
    <w:rsid w:val="DADF302D"/>
    <w:rsid w:val="DB7B5941"/>
    <w:rsid w:val="DBB9B8E8"/>
    <w:rsid w:val="DBF169AA"/>
    <w:rsid w:val="DC4FCDF6"/>
    <w:rsid w:val="DDBD5D29"/>
    <w:rsid w:val="DEFF0448"/>
    <w:rsid w:val="DF7B4907"/>
    <w:rsid w:val="DF9FED30"/>
    <w:rsid w:val="DFAF66EB"/>
    <w:rsid w:val="DFEBA0B3"/>
    <w:rsid w:val="DFF9C0C7"/>
    <w:rsid w:val="E2B7E17F"/>
    <w:rsid w:val="E5FE9596"/>
    <w:rsid w:val="E6B7E036"/>
    <w:rsid w:val="E9FFAB08"/>
    <w:rsid w:val="EBDFB108"/>
    <w:rsid w:val="EC7995E8"/>
    <w:rsid w:val="EEDE1C98"/>
    <w:rsid w:val="EF5B2CB9"/>
    <w:rsid w:val="EFEFDC5E"/>
    <w:rsid w:val="EFFF5334"/>
    <w:rsid w:val="F7FD73F5"/>
    <w:rsid w:val="F83FA4E4"/>
    <w:rsid w:val="F9F91967"/>
    <w:rsid w:val="FAFF5DAC"/>
    <w:rsid w:val="FC6B952A"/>
    <w:rsid w:val="FCF8B8EC"/>
    <w:rsid w:val="FD5F163E"/>
    <w:rsid w:val="FD761F93"/>
    <w:rsid w:val="FD7B4E45"/>
    <w:rsid w:val="FD9F0849"/>
    <w:rsid w:val="FDFDC268"/>
    <w:rsid w:val="FE294268"/>
    <w:rsid w:val="FEDF68E5"/>
    <w:rsid w:val="FFBAF09A"/>
    <w:rsid w:val="FFE71B98"/>
    <w:rsid w:val="FFEF9F17"/>
    <w:rsid w:val="FFEFC535"/>
    <w:rsid w:val="FFFB32F1"/>
    <w:rsid w:val="FFFF3E16"/>
    <w:rsid w:val="FFFF5243"/>
    <w:rsid w:val="FFFF616D"/>
    <w:rsid w:val="FFFF6DC4"/>
    <w:rsid w:val="FFFFFD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link w:val="16"/>
    <w:qFormat/>
    <w:uiPriority w:val="99"/>
    <w:pPr>
      <w:jc w:val="left"/>
    </w:pPr>
  </w:style>
  <w:style w:type="paragraph" w:styleId="4">
    <w:name w:val="Body Text Indent"/>
    <w:basedOn w:val="1"/>
    <w:qFormat/>
    <w:uiPriority w:val="0"/>
    <w:pPr>
      <w:spacing w:after="120"/>
      <w:ind w:left="420" w:leftChars="200"/>
    </w:pPr>
  </w:style>
  <w:style w:type="paragraph" w:styleId="5">
    <w:name w:val="Balloon Text"/>
    <w:basedOn w:val="1"/>
    <w:link w:val="17"/>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0">
    <w:name w:val="Body Text First Indent 2"/>
    <w:basedOn w:val="4"/>
    <w:unhideWhenUsed/>
    <w:qFormat/>
    <w:uiPriority w:val="99"/>
    <w:pPr>
      <w:ind w:firstLine="420" w:firstLineChars="200"/>
    </w:pPr>
    <w:rPr>
      <w:szCs w:val="22"/>
    </w:rPr>
  </w:style>
  <w:style w:type="character" w:styleId="13">
    <w:name w:val="Strong"/>
    <w:qFormat/>
    <w:uiPriority w:val="0"/>
    <w:rPr>
      <w:b/>
      <w:bCs/>
    </w:rPr>
  </w:style>
  <w:style w:type="character" w:styleId="14">
    <w:name w:val="Hyperlink"/>
    <w:unhideWhenUsed/>
    <w:qFormat/>
    <w:uiPriority w:val="99"/>
    <w:rPr>
      <w:color w:val="0000FF"/>
      <w:u w:val="single"/>
    </w:rPr>
  </w:style>
  <w:style w:type="character" w:styleId="15">
    <w:name w:val="annotation reference"/>
    <w:qFormat/>
    <w:uiPriority w:val="99"/>
    <w:rPr>
      <w:rFonts w:cs="Times New Roman"/>
      <w:sz w:val="21"/>
      <w:szCs w:val="21"/>
    </w:rPr>
  </w:style>
  <w:style w:type="character" w:customStyle="1" w:styleId="16">
    <w:name w:val="批注文字 Char"/>
    <w:basedOn w:val="12"/>
    <w:link w:val="3"/>
    <w:qFormat/>
    <w:uiPriority w:val="99"/>
    <w:rPr>
      <w:kern w:val="2"/>
      <w:sz w:val="21"/>
      <w:szCs w:val="24"/>
    </w:rPr>
  </w:style>
  <w:style w:type="character" w:customStyle="1" w:styleId="17">
    <w:name w:val="批注框文本 Char"/>
    <w:basedOn w:val="12"/>
    <w:link w:val="5"/>
    <w:qFormat/>
    <w:uiPriority w:val="0"/>
    <w:rPr>
      <w:kern w:val="2"/>
      <w:sz w:val="18"/>
      <w:szCs w:val="18"/>
    </w:rPr>
  </w:style>
  <w:style w:type="character" w:customStyle="1" w:styleId="18">
    <w:name w:val="页脚 Char"/>
    <w:link w:val="6"/>
    <w:qFormat/>
    <w:uiPriority w:val="99"/>
    <w:rPr>
      <w:kern w:val="2"/>
      <w:sz w:val="18"/>
      <w:szCs w:val="18"/>
    </w:rPr>
  </w:style>
  <w:style w:type="character" w:customStyle="1" w:styleId="19">
    <w:name w:val="页眉 Char"/>
    <w:link w:val="7"/>
    <w:qFormat/>
    <w:uiPriority w:val="99"/>
    <w:rPr>
      <w:kern w:val="2"/>
      <w:sz w:val="18"/>
      <w:szCs w:val="18"/>
    </w:rPr>
  </w:style>
  <w:style w:type="character" w:customStyle="1" w:styleId="20">
    <w:name w:val="apple-converted-space"/>
    <w:basedOn w:val="12"/>
    <w:qFormat/>
    <w:uiPriority w:val="0"/>
  </w:style>
  <w:style w:type="paragraph" w:customStyle="1" w:styleId="21">
    <w:name w:val="19"/>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16"/>
    <w:basedOn w:val="12"/>
    <w:qFormat/>
    <w:uiPriority w:val="0"/>
  </w:style>
  <w:style w:type="paragraph" w:styleId="23">
    <w:name w:val="No Spacing"/>
    <w:link w:val="24"/>
    <w:qFormat/>
    <w:uiPriority w:val="1"/>
    <w:rPr>
      <w:rFonts w:ascii="Calibri" w:hAnsi="Calibri" w:eastAsia="宋体" w:cs="Times New Roman"/>
      <w:sz w:val="22"/>
      <w:szCs w:val="22"/>
      <w:lang w:bidi="ar-SA"/>
    </w:rPr>
  </w:style>
  <w:style w:type="character" w:customStyle="1" w:styleId="24">
    <w:name w:val="无间隔 Char"/>
    <w:link w:val="23"/>
    <w:qFormat/>
    <w:uiPriority w:val="1"/>
    <w:rPr>
      <w:rFonts w:ascii="Calibri" w:hAnsi="Calibri"/>
      <w:sz w:val="22"/>
      <w:szCs w:val="22"/>
      <w:lang w:bidi="ar-SA"/>
    </w:rPr>
  </w:style>
  <w:style w:type="paragraph" w:customStyle="1" w:styleId="25">
    <w:name w:val="Char"/>
    <w:basedOn w:val="1"/>
    <w:qFormat/>
    <w:uiPriority w:val="0"/>
    <w:pPr>
      <w:widowControl/>
      <w:spacing w:after="160" w:line="240" w:lineRule="exact"/>
      <w:jc w:val="left"/>
    </w:pPr>
    <w:rPr>
      <w:rFonts w:eastAsia="仿宋_GB231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14</Pages>
  <Words>6407</Words>
  <Characters>6631</Characters>
  <Lines>46</Lines>
  <Paragraphs>12</Paragraphs>
  <TotalTime>25</TotalTime>
  <ScaleCrop>false</ScaleCrop>
  <LinksUpToDate>false</LinksUpToDate>
  <CharactersWithSpaces>6635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2022-11-05T02:00:00Z</dcterms:created>
  <dc:creator>LOU</dc:creator>
  <cp:lastModifiedBy>如沐春风</cp:lastModifiedBy>
  <cp:lastPrinted>2026-09-09T02:38:00Z</cp:lastPrinted>
  <dcterms:modified xsi:type="dcterms:W3CDTF">2026-09-10T08:10:12Z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8ACAB1C324D2422998396D0B55F40857_13</vt:lpwstr>
  </property>
  <property fmtid="{D5CDD505-2E9C-101B-9397-08002B2CF9AE}" pid="4" name="KSOTemplateDocerSaveRecord">
    <vt:lpwstr>eyJoZGlkIjoiNDVhZWYwMGYzZGM2MzI1MmE5MWFiNjRhN2Q3MTQ1MjQiLCJ1c2VySWQiOiIxMjA0OTE3NTg5In0=</vt:lpwstr>
  </property>
</Properties>
</file>